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7FE5C">
      <w:pPr>
        <w:rPr>
          <w:rFonts w:hint="default" w:ascii="Times New Roman" w:hAnsi="Times New Roman" w:eastAsia="黑体" w:cs="Times New Roman"/>
          <w:lang w:val="en-US" w:eastAsia="zh-CN"/>
        </w:rPr>
      </w:pPr>
      <w:r>
        <w:rPr>
          <w:rFonts w:hint="default" w:ascii="Times New Roman" w:hAnsi="Times New Roman" w:eastAsia="黑体" w:cs="Times New Roman"/>
          <w:lang w:eastAsia="zh-CN"/>
        </w:rPr>
        <w:t>附件</w:t>
      </w:r>
      <w:r>
        <w:rPr>
          <w:rFonts w:hint="default" w:ascii="Times New Roman" w:hAnsi="Times New Roman" w:eastAsia="黑体" w:cs="Times New Roman"/>
          <w:lang w:val="en-US" w:eastAsia="zh-CN"/>
        </w:rPr>
        <w:t>1</w:t>
      </w:r>
    </w:p>
    <w:p w14:paraId="4C751D1C">
      <w:pPr>
        <w:keepNext w:val="0"/>
        <w:keepLines w:val="0"/>
        <w:pageBreakBefore w:val="0"/>
        <w:widowControl w:val="0"/>
        <w:kinsoku/>
        <w:wordWrap/>
        <w:overflowPunct/>
        <w:topLinePunct w:val="0"/>
        <w:autoSpaceDE/>
        <w:autoSpaceDN/>
        <w:bidi w:val="0"/>
        <w:adjustRightInd/>
        <w:snapToGrid/>
        <w:spacing w:line="360" w:lineRule="exact"/>
        <w:ind w:right="-86" w:rightChars="-27"/>
        <w:jc w:val="both"/>
        <w:textAlignment w:val="auto"/>
        <w:rPr>
          <w:rFonts w:eastAsia="方正小标宋简体"/>
          <w:sz w:val="44"/>
          <w:szCs w:val="44"/>
        </w:rPr>
      </w:pPr>
    </w:p>
    <w:p w14:paraId="444C248F">
      <w:pPr>
        <w:keepNext w:val="0"/>
        <w:keepLines w:val="0"/>
        <w:pageBreakBefore w:val="0"/>
        <w:widowControl w:val="0"/>
        <w:kinsoku/>
        <w:wordWrap/>
        <w:overflowPunct/>
        <w:topLinePunct w:val="0"/>
        <w:autoSpaceDE/>
        <w:autoSpaceDN/>
        <w:bidi w:val="0"/>
        <w:adjustRightInd/>
        <w:snapToGrid/>
        <w:spacing w:line="600" w:lineRule="exact"/>
        <w:ind w:right="-86" w:rightChars="-27"/>
        <w:jc w:val="center"/>
        <w:textAlignment w:val="auto"/>
        <w:rPr>
          <w:rFonts w:eastAsia="方正小标宋简体"/>
          <w:sz w:val="44"/>
          <w:szCs w:val="44"/>
        </w:rPr>
      </w:pPr>
      <w:r>
        <w:rPr>
          <w:rFonts w:eastAsia="方正小标宋简体"/>
          <w:sz w:val="44"/>
          <w:szCs w:val="44"/>
        </w:rPr>
        <w:t>关于</w:t>
      </w:r>
      <w:r>
        <w:rPr>
          <w:rFonts w:hint="eastAsia" w:eastAsia="方正小标宋简体"/>
          <w:sz w:val="44"/>
          <w:szCs w:val="44"/>
        </w:rPr>
        <w:t>稳步</w:t>
      </w:r>
      <w:r>
        <w:rPr>
          <w:rFonts w:eastAsia="方正小标宋简体"/>
          <w:sz w:val="44"/>
          <w:szCs w:val="44"/>
        </w:rPr>
        <w:t>推进东莞市装配式建筑发展有关</w:t>
      </w:r>
    </w:p>
    <w:p w14:paraId="4821B314">
      <w:pPr>
        <w:keepNext w:val="0"/>
        <w:keepLines w:val="0"/>
        <w:pageBreakBefore w:val="0"/>
        <w:widowControl w:val="0"/>
        <w:kinsoku/>
        <w:wordWrap/>
        <w:overflowPunct/>
        <w:topLinePunct w:val="0"/>
        <w:autoSpaceDE/>
        <w:autoSpaceDN/>
        <w:bidi w:val="0"/>
        <w:adjustRightInd/>
        <w:snapToGrid/>
        <w:spacing w:line="600" w:lineRule="exact"/>
        <w:ind w:right="-86" w:rightChars="-27"/>
        <w:jc w:val="center"/>
        <w:textAlignment w:val="auto"/>
        <w:rPr>
          <w:rFonts w:eastAsia="方正小标宋简体"/>
          <w:sz w:val="44"/>
          <w:szCs w:val="44"/>
        </w:rPr>
      </w:pPr>
      <w:r>
        <w:rPr>
          <w:rFonts w:hint="eastAsia" w:eastAsia="方正小标宋简体"/>
          <w:sz w:val="44"/>
          <w:szCs w:val="44"/>
        </w:rPr>
        <w:t>工</w:t>
      </w:r>
      <w:r>
        <w:rPr>
          <w:rFonts w:eastAsia="方正小标宋简体"/>
          <w:sz w:val="44"/>
          <w:szCs w:val="44"/>
        </w:rPr>
        <w:t>作要求的通知（征求意见稿）</w:t>
      </w:r>
    </w:p>
    <w:p w14:paraId="4345E3EB">
      <w:pPr>
        <w:adjustRightInd w:val="0"/>
        <w:snapToGrid w:val="0"/>
        <w:spacing w:line="640" w:lineRule="exact"/>
        <w:jc w:val="center"/>
        <w:rPr>
          <w:rFonts w:hint="default" w:ascii="Times New Roman" w:hAnsi="Times New Roman" w:eastAsia="仿宋_GB2312" w:cs="Times New Roman"/>
          <w:sz w:val="32"/>
          <w:szCs w:val="32"/>
        </w:rPr>
      </w:pPr>
    </w:p>
    <w:p w14:paraId="60810977">
      <w:pPr>
        <w:keepNext w:val="0"/>
        <w:keepLines w:val="0"/>
        <w:pageBreakBefore w:val="0"/>
        <w:kinsoku/>
        <w:wordWrap/>
        <w:overflowPunct/>
        <w:bidi w:val="0"/>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各镇街（</w:t>
      </w:r>
      <w:r>
        <w:rPr>
          <w:rFonts w:hint="default" w:ascii="Times New Roman" w:hAnsi="Times New Roman" w:eastAsia="仿宋_GB2312" w:cs="Times New Roman"/>
          <w:sz w:val="32"/>
          <w:szCs w:val="32"/>
          <w:lang w:eastAsia="zh-CN"/>
        </w:rPr>
        <w:t>园区</w:t>
      </w:r>
      <w:r>
        <w:rPr>
          <w:rFonts w:hint="default" w:ascii="Times New Roman" w:hAnsi="Times New Roman" w:eastAsia="仿宋_GB2312" w:cs="Times New Roman"/>
          <w:sz w:val="32"/>
          <w:szCs w:val="32"/>
        </w:rPr>
        <w:t>）住房</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城乡建设局，各有关单位：</w:t>
      </w:r>
    </w:p>
    <w:p w14:paraId="7593B489">
      <w:pPr>
        <w:keepNext w:val="0"/>
        <w:keepLines w:val="0"/>
        <w:pageBreakBefore w:val="0"/>
        <w:widowControl/>
        <w:kinsoku/>
        <w:wordWrap/>
        <w:overflowPunct/>
        <w:bidi w:val="0"/>
        <w:snapToGrid/>
        <w:spacing w:line="240" w:lineRule="auto"/>
        <w:ind w:firstLine="641"/>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进一步推动我市装配式建筑高质量发展，稳步推进新型建筑转型升级，根据《住房和城乡建设部等部门关于加快新型建筑工业化发展的若干意见》（建标规〔2020〕8号）、《广东省人民政府办公厅关于大力发展装配式建筑的实施意见》（粤府办〔2017〕28号）</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东莞市人民政府办公室关于印发〈东莞市人民政府关于大力发展装配式建筑的实施意见〉的通知》（东府办〔2017〕103号）等文件要求，结合我市装配式建筑发展情况，现将我市实施装配式建筑的有关工作要求通知如下：</w:t>
      </w:r>
    </w:p>
    <w:p w14:paraId="2275B25A">
      <w:pPr>
        <w:keepNext w:val="0"/>
        <w:keepLines w:val="0"/>
        <w:pageBreakBefore w:val="0"/>
        <w:widowControl/>
        <w:kinsoku/>
        <w:wordWrap/>
        <w:overflowPunct/>
        <w:bidi w:val="0"/>
        <w:snapToGrid/>
        <w:spacing w:line="240" w:lineRule="auto"/>
        <w:ind w:firstLine="641"/>
        <w:jc w:val="left"/>
        <w:textAlignment w:val="auto"/>
        <w:rPr>
          <w:rFonts w:hint="eastAsia" w:ascii="黑体" w:hAnsi="黑体" w:eastAsia="黑体" w:cs="黑体"/>
          <w:sz w:val="32"/>
          <w:szCs w:val="32"/>
        </w:rPr>
      </w:pPr>
      <w:r>
        <w:rPr>
          <w:rFonts w:hint="eastAsia" w:ascii="黑体" w:hAnsi="黑体" w:eastAsia="黑体" w:cs="黑体"/>
          <w:sz w:val="32"/>
          <w:szCs w:val="32"/>
        </w:rPr>
        <w:t>一、实施范围</w:t>
      </w:r>
    </w:p>
    <w:p w14:paraId="734E6AE6">
      <w:pPr>
        <w:keepNext w:val="0"/>
        <w:keepLines w:val="0"/>
        <w:pageBreakBefore w:val="0"/>
        <w:widowControl/>
        <w:kinsoku/>
        <w:wordWrap/>
        <w:overflowPunct/>
        <w:bidi w:val="0"/>
        <w:snapToGrid/>
        <w:spacing w:line="240" w:lineRule="auto"/>
        <w:ind w:firstLine="641"/>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0"/>
          <w:sz w:val="32"/>
          <w:szCs w:val="32"/>
        </w:rPr>
        <w:t>全市新建、扩建、改建的房屋建筑项目达到以下规模的应实施装配式建筑，具体范围如下</w:t>
      </w:r>
      <w:r>
        <w:rPr>
          <w:rFonts w:hint="default" w:ascii="Times New Roman" w:hAnsi="Times New Roman" w:eastAsia="仿宋_GB2312" w:cs="Times New Roman"/>
          <w:kern w:val="0"/>
          <w:sz w:val="32"/>
          <w:szCs w:val="32"/>
          <w:lang w:eastAsia="zh-CN"/>
        </w:rPr>
        <w:t>：</w:t>
      </w:r>
    </w:p>
    <w:p w14:paraId="4917A71B">
      <w:pPr>
        <w:keepNext w:val="0"/>
        <w:keepLines w:val="0"/>
        <w:pageBreakBefore w:val="0"/>
        <w:widowControl/>
        <w:kinsoku/>
        <w:wordWrap/>
        <w:overflowPunct/>
        <w:bidi w:val="0"/>
        <w:snapToGrid/>
        <w:spacing w:line="240" w:lineRule="auto"/>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（一）财政投资类</w:t>
      </w:r>
      <w:r>
        <w:rPr>
          <w:rFonts w:hint="default" w:ascii="Times New Roman" w:hAnsi="Times New Roman" w:eastAsia="仿宋_GB2312" w:cs="Times New Roman"/>
          <w:sz w:val="32"/>
          <w:szCs w:val="32"/>
        </w:rPr>
        <w:t>（含村集体出资</w:t>
      </w:r>
      <w:r>
        <w:rPr>
          <w:rFonts w:hint="eastAsia" w:cs="Times New Roman"/>
          <w:sz w:val="32"/>
          <w:szCs w:val="32"/>
          <w:lang w:eastAsia="zh-CN"/>
        </w:rPr>
        <w:t>和国有资金出资</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的房屋建筑工程建设项目，总计容建筑面积达到5000平方米的</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kern w:val="0"/>
          <w:sz w:val="32"/>
          <w:szCs w:val="32"/>
        </w:rPr>
        <w:t>；</w:t>
      </w:r>
    </w:p>
    <w:p w14:paraId="13B3CD19">
      <w:pPr>
        <w:keepNext w:val="0"/>
        <w:keepLines w:val="0"/>
        <w:pageBreakBefore w:val="0"/>
        <w:widowControl/>
        <w:kinsoku/>
        <w:wordWrap/>
        <w:overflowPunct/>
        <w:bidi w:val="0"/>
        <w:snapToGrid/>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（二）社会投资类</w:t>
      </w:r>
      <w:r>
        <w:rPr>
          <w:rFonts w:hint="default" w:ascii="Times New Roman" w:hAnsi="Times New Roman" w:eastAsia="仿宋_GB2312" w:cs="Times New Roman"/>
          <w:kern w:val="0"/>
          <w:sz w:val="32"/>
          <w:szCs w:val="32"/>
        </w:rPr>
        <w:t>的房屋建筑工程建设项目，总计</w:t>
      </w:r>
      <w:r>
        <w:rPr>
          <w:rFonts w:hint="default" w:ascii="Times New Roman" w:hAnsi="Times New Roman" w:eastAsia="仿宋_GB2312" w:cs="Times New Roman"/>
          <w:sz w:val="32"/>
          <w:szCs w:val="32"/>
        </w:rPr>
        <w:t>容建筑面积</w:t>
      </w:r>
      <w:r>
        <w:rPr>
          <w:rFonts w:hint="default" w:ascii="Times New Roman" w:hAnsi="Times New Roman" w:eastAsia="仿宋_GB2312" w:cs="Times New Roman"/>
          <w:color w:val="000000" w:themeColor="text1"/>
          <w:sz w:val="32"/>
          <w:szCs w:val="32"/>
          <w14:textFill>
            <w14:solidFill>
              <w14:schemeClr w14:val="tx1"/>
            </w14:solidFill>
          </w14:textFill>
        </w:rPr>
        <w:t>达到30000平方米</w:t>
      </w:r>
      <w:r>
        <w:rPr>
          <w:rFonts w:hint="default" w:ascii="Times New Roman" w:hAnsi="Times New Roman" w:eastAsia="仿宋_GB2312" w:cs="Times New Roman"/>
          <w:sz w:val="32"/>
          <w:szCs w:val="32"/>
        </w:rPr>
        <w:t>的项目。</w:t>
      </w:r>
    </w:p>
    <w:p w14:paraId="4E91052B">
      <w:pPr>
        <w:keepNext w:val="0"/>
        <w:keepLines w:val="0"/>
        <w:pageBreakBefore w:val="0"/>
        <w:widowControl/>
        <w:kinsoku/>
        <w:wordWrap/>
        <w:overflowPunct/>
        <w:bidi w:val="0"/>
        <w:snapToGrid/>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以上实施范围内的建设项目中工业类项目（不包括MO类型项目）实施装配式建筑单体面积的比例不得低于同一批报建单体楼栋总计容</w:t>
      </w:r>
      <w:r>
        <w:rPr>
          <w:rFonts w:hint="eastAsia" w:cs="Times New Roman"/>
          <w:sz w:val="32"/>
          <w:szCs w:val="32"/>
          <w:lang w:eastAsia="zh-CN"/>
        </w:rPr>
        <w:t>建筑</w:t>
      </w:r>
      <w:r>
        <w:rPr>
          <w:rFonts w:hint="default" w:ascii="Times New Roman" w:hAnsi="Times New Roman" w:eastAsia="仿宋_GB2312" w:cs="Times New Roman"/>
          <w:sz w:val="32"/>
          <w:szCs w:val="32"/>
        </w:rPr>
        <w:t>面积的30%；其他类型建筑中的单体计容</w:t>
      </w:r>
      <w:r>
        <w:rPr>
          <w:rFonts w:hint="eastAsia" w:cs="Times New Roman"/>
          <w:sz w:val="32"/>
          <w:szCs w:val="32"/>
          <w:lang w:eastAsia="zh-CN"/>
        </w:rPr>
        <w:t>建</w:t>
      </w:r>
      <w:r>
        <w:rPr>
          <w:rFonts w:hint="default" w:ascii="Times New Roman" w:hAnsi="Times New Roman" w:eastAsia="仿宋_GB2312" w:cs="Times New Roman"/>
          <w:sz w:val="32"/>
          <w:szCs w:val="32"/>
        </w:rPr>
        <w:t>筑面积达到5000平方米的楼栋均需实施装配式建筑。</w:t>
      </w:r>
    </w:p>
    <w:p w14:paraId="7421BA22">
      <w:pPr>
        <w:keepNext w:val="0"/>
        <w:keepLines w:val="0"/>
        <w:pageBreakBefore w:val="0"/>
        <w:widowControl/>
        <w:kinsoku/>
        <w:wordWrap/>
        <w:overflowPunct/>
        <w:bidi w:val="0"/>
        <w:snapToGrid/>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（三）我市所有保障性住房项目中单体计容建筑面积超过5000平方米的楼栋，均需实施装配式建筑，配售型保障性住房另有规定的从其规定。 </w:t>
      </w:r>
    </w:p>
    <w:p w14:paraId="6E44EA63">
      <w:pPr>
        <w:keepNext w:val="0"/>
        <w:keepLines w:val="0"/>
        <w:pageBreakBefore w:val="0"/>
        <w:widowControl/>
        <w:kinsoku/>
        <w:wordWrap/>
        <w:overflowPunct/>
        <w:bidi w:val="0"/>
        <w:snapToGrid/>
        <w:spacing w:line="240" w:lineRule="auto"/>
        <w:ind w:firstLine="640"/>
        <w:jc w:val="left"/>
        <w:textAlignment w:val="auto"/>
        <w:rPr>
          <w:rFonts w:hint="eastAsia" w:ascii="黑体" w:hAnsi="黑体" w:eastAsia="黑体" w:cs="黑体"/>
          <w:sz w:val="32"/>
          <w:szCs w:val="32"/>
        </w:rPr>
      </w:pPr>
      <w:r>
        <w:rPr>
          <w:rFonts w:hint="eastAsia" w:ascii="黑体" w:hAnsi="黑体" w:eastAsia="黑体" w:cs="黑体"/>
          <w:sz w:val="32"/>
          <w:szCs w:val="32"/>
        </w:rPr>
        <w:t>二、实施标准</w:t>
      </w:r>
    </w:p>
    <w:p w14:paraId="4214C964">
      <w:pPr>
        <w:keepNext w:val="0"/>
        <w:keepLines w:val="0"/>
        <w:pageBreakBefore w:val="0"/>
        <w:widowControl/>
        <w:kinsoku/>
        <w:wordWrap/>
        <w:overflowPunct/>
        <w:bidi w:val="0"/>
        <w:snapToGrid/>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实施装配式建筑的建设项目，应当参照国家《装配式建筑评价标准》（GBT51129-2017）或广东省《装配式建筑评价标准》（DBJ/T15-163-2019）执行，其装配率不得低于50%（详见计算书），具体评价标准详见附件细则一、细则二。 </w:t>
      </w:r>
    </w:p>
    <w:p w14:paraId="35E0084B">
      <w:pPr>
        <w:keepNext w:val="0"/>
        <w:keepLines w:val="0"/>
        <w:pageBreakBefore w:val="0"/>
        <w:widowControl/>
        <w:kinsoku/>
        <w:wordWrap/>
        <w:overflowPunct/>
        <w:bidi w:val="0"/>
        <w:snapToGrid/>
        <w:spacing w:line="240" w:lineRule="auto"/>
        <w:ind w:firstLine="640"/>
        <w:jc w:val="left"/>
        <w:textAlignment w:val="auto"/>
        <w:rPr>
          <w:rFonts w:hint="eastAsia" w:ascii="黑体" w:hAnsi="黑体" w:eastAsia="黑体" w:cs="黑体"/>
          <w:sz w:val="32"/>
          <w:szCs w:val="32"/>
        </w:rPr>
      </w:pPr>
      <w:r>
        <w:rPr>
          <w:rFonts w:hint="eastAsia" w:ascii="黑体" w:hAnsi="黑体" w:eastAsia="黑体" w:cs="黑体"/>
          <w:sz w:val="32"/>
          <w:szCs w:val="32"/>
        </w:rPr>
        <w:t>三、不纳入实施范围的情况</w:t>
      </w:r>
    </w:p>
    <w:p w14:paraId="6AF64BC8">
      <w:pPr>
        <w:keepNext w:val="0"/>
        <w:keepLines w:val="0"/>
        <w:pageBreakBefore w:val="0"/>
        <w:widowControl/>
        <w:kinsoku/>
        <w:wordWrap/>
        <w:overflowPunct/>
        <w:bidi w:val="0"/>
        <w:snapToGrid/>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装配式建筑预评价以单体建筑为评价对象，装配率计算以标准层结构为计算范围，首层架空层（含功能和结构与标准层完全不一致的楼层）、屋面层以及住宅类项目中的裙楼、结构转换层、避难层、设备层可不纳入评价范围。</w:t>
      </w:r>
    </w:p>
    <w:p w14:paraId="2B476DDF">
      <w:pPr>
        <w:keepNext w:val="0"/>
        <w:keepLines w:val="0"/>
        <w:pageBreakBefore w:val="0"/>
        <w:kinsoku/>
        <w:wordWrap/>
        <w:overflowPunct/>
        <w:bidi w:val="0"/>
        <w:adjustRightInd w:val="0"/>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四、申请降低标准实施的情况 </w:t>
      </w:r>
    </w:p>
    <w:p w14:paraId="55600AE1">
      <w:pPr>
        <w:keepNext w:val="0"/>
        <w:keepLines w:val="0"/>
        <w:pageBreakBefore w:val="0"/>
        <w:kinsoku/>
        <w:wordWrap/>
        <w:overflowPunct/>
        <w:bidi w:val="0"/>
        <w:adjustRightInd w:val="0"/>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超限高层单体建筑工程，经专家对抗震设防进行专项审查后，认为采用预制构件影响结构抗震安全的，可通过专家技术论证的方式，按照应做尽做的原则，合理调整装配式建筑技术评价标准，其他评价得分项按相关规定执行。</w:t>
      </w:r>
    </w:p>
    <w:p w14:paraId="00ACD15D">
      <w:pPr>
        <w:pStyle w:val="22"/>
        <w:keepNext w:val="0"/>
        <w:keepLines w:val="0"/>
        <w:pageBreakBefore w:val="0"/>
        <w:widowControl/>
        <w:kinsoku/>
        <w:wordWrap/>
        <w:overflowPunct/>
        <w:bidi w:val="0"/>
        <w:snapToGrid/>
        <w:spacing w:after="0" w:line="240" w:lineRule="auto"/>
        <w:ind w:firstLine="640"/>
        <w:jc w:val="both"/>
        <w:textAlignment w:val="auto"/>
        <w:rPr>
          <w:rFonts w:hint="default" w:ascii="Times New Roman" w:hAnsi="Times New Roman" w:eastAsia="仿宋_GB2312" w:cs="Times New Roman"/>
          <w:color w:val="FF0000"/>
          <w:kern w:val="2"/>
          <w:sz w:val="32"/>
          <w:szCs w:val="32"/>
        </w:rPr>
      </w:pPr>
      <w:r>
        <w:rPr>
          <w:rFonts w:hint="default" w:ascii="Times New Roman" w:hAnsi="Times New Roman" w:eastAsia="仿宋_GB2312" w:cs="Times New Roman"/>
          <w:kern w:val="2"/>
          <w:sz w:val="32"/>
          <w:szCs w:val="32"/>
        </w:rPr>
        <w:t>（二）因建造技术特殊、造型复杂、多功能混合的单栋建筑，难以满足装配式建筑相关技术评价要求的，可组织专家论证的方式，合理调整装配式建筑技术评价有关要求。</w:t>
      </w:r>
    </w:p>
    <w:p w14:paraId="032DC1C4">
      <w:pPr>
        <w:keepNext w:val="0"/>
        <w:keepLines w:val="0"/>
        <w:pageBreakBefore w:val="0"/>
        <w:kinsoku/>
        <w:wordWrap/>
        <w:overflowPunct/>
        <w:bidi w:val="0"/>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五、申报流程及需提交资料</w:t>
      </w:r>
    </w:p>
    <w:p w14:paraId="0C4C9E4E">
      <w:pPr>
        <w:keepNext w:val="0"/>
        <w:keepLines w:val="0"/>
        <w:pageBreakBefore w:val="0"/>
        <w:kinsoku/>
        <w:wordWrap/>
        <w:overflowPunct/>
        <w:bidi w:val="0"/>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（一）各建设单位申请装配式建筑预评价（论证会），需在东莞市住房和城乡建设局官网上申请，申报流程和相关要求按《关于进一步规范申报装配式建筑有关事项要求的通知》（东建节能〔2021〕7号）执行。</w:t>
      </w:r>
    </w:p>
    <w:p w14:paraId="16E4390B">
      <w:pPr>
        <w:keepNext w:val="0"/>
        <w:keepLines w:val="0"/>
        <w:pageBreakBefore w:val="0"/>
        <w:kinsoku/>
        <w:wordWrap/>
        <w:overflowPunct/>
        <w:bidi w:val="0"/>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（二）建设单位向东莞市住房和城乡建设局申请预评价（论证会）事项时，其发送至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东莞市墙材革新与建筑节能办公室QQ邮箱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2987391660@qq.com</w:t>
      </w:r>
      <w:r>
        <w:rPr>
          <w:rFonts w:hint="default" w:ascii="Times New Roman" w:hAnsi="Times New Roman" w:eastAsia="仿宋_GB2312" w:cs="Times New Roman"/>
          <w:sz w:val="32"/>
          <w:szCs w:val="32"/>
        </w:rPr>
        <w:t>）的装配式建筑相关资料应包括但不限于以下内容：</w:t>
      </w:r>
    </w:p>
    <w:p w14:paraId="1A579F71">
      <w:pPr>
        <w:keepNext w:val="0"/>
        <w:keepLines w:val="0"/>
        <w:pageBreakBefore w:val="0"/>
        <w:kinsoku/>
        <w:wordWrap/>
        <w:overflowPunct/>
        <w:bidi w:val="0"/>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装配式建筑预评价申报表、施工图设计文件、装配式建筑专项设计文件、工程项目总平面图（效果图）、装配式建筑专项应用方案、建设工程规划许可证（如无，可提供电子报批文件）以及其他资料（国有建设用地使用权出让合同、可行性研究报告及批复、承诺函等）。</w:t>
      </w:r>
    </w:p>
    <w:p w14:paraId="33871896">
      <w:pPr>
        <w:keepNext w:val="0"/>
        <w:keepLines w:val="0"/>
        <w:pageBreakBefore w:val="0"/>
        <w:kinsoku/>
        <w:wordWrap/>
        <w:overflowPunct/>
        <w:bidi w:val="0"/>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六、其他事项</w:t>
      </w:r>
    </w:p>
    <w:p w14:paraId="56BC56DF">
      <w:pPr>
        <w:keepNext w:val="0"/>
        <w:keepLines w:val="0"/>
        <w:pageBreakBefore w:val="0"/>
        <w:kinsoku/>
        <w:wordWrap/>
        <w:overflowPunct/>
        <w:bidi w:val="0"/>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期开发报建的同一个地块的建设项目，应以此地块的总计容建筑面积来计算并确定是否实施装配式建筑；同一建设单位在多个连片地块开发建设的项目，应视为同一建设项目，并以多个地块计容建筑面积之和来计算并确定是否实施装配式建筑。</w:t>
      </w:r>
    </w:p>
    <w:p w14:paraId="377A5F5F">
      <w:pPr>
        <w:keepNext w:val="0"/>
        <w:keepLines w:val="0"/>
        <w:pageBreakBefore w:val="0"/>
        <w:widowControl/>
        <w:kinsoku/>
        <w:wordWrap/>
        <w:overflowPunct/>
        <w:bidi w:val="0"/>
        <w:snapToGrid/>
        <w:spacing w:line="240" w:lineRule="auto"/>
        <w:ind w:firstLine="640" w:firstLineChars="200"/>
        <w:textAlignment w:val="auto"/>
        <w:rPr>
          <w:szCs w:val="32"/>
        </w:rPr>
      </w:pPr>
      <w:r>
        <w:rPr>
          <w:rFonts w:hint="default" w:ascii="Times New Roman" w:hAnsi="Times New Roman" w:eastAsia="仿宋_GB2312" w:cs="Times New Roman"/>
          <w:sz w:val="32"/>
          <w:szCs w:val="32"/>
        </w:rPr>
        <w:t>本通知自</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年***月***日起开始实施，以往发布的东建节能〔2018〕15号、东建节能〔2020〕3号、东建节能〔2020〕4号、东建节能〔2021〕4号、东建节能〔2022〕8号通知同时废止。评价标准（省标和国标）如有新的调整，参照新的标准执行。</w:t>
      </w:r>
      <w:bookmarkStart w:id="0" w:name="_GoBack"/>
      <w:bookmarkEnd w:id="0"/>
    </w:p>
    <w:sectPr>
      <w:footerReference r:id="rId5" w:type="first"/>
      <w:footerReference r:id="rId3" w:type="default"/>
      <w:footerReference r:id="rId4" w:type="even"/>
      <w:pgSz w:w="11906" w:h="16838"/>
      <w:pgMar w:top="1701" w:right="1474" w:bottom="1701" w:left="1588" w:header="851" w:footer="1304" w:gutter="0"/>
      <w:cols w:space="720" w:num="1"/>
      <w:titlePg/>
      <w:docGrid w:type="linesAndChar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9EEE52-4C1E-4CF3-B9F4-02A838B4FB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C758305-DC96-42F3-B0D3-D1BE1C47947A}"/>
  </w:font>
  <w:font w:name="华康简标题宋">
    <w:panose1 w:val="02010609000101010101"/>
    <w:charset w:val="00"/>
    <w:family w:val="moder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embedRegular r:id="rId3" w:fontKey="{1E9B81F6-B00A-4555-88AD-B58F4CB9A3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5C4BD">
    <w:pPr>
      <w:pStyle w:val="19"/>
      <w:framePr w:w="1067" w:h="562" w:hRule="exact" w:wrap="around" w:vAnchor="text" w:hAnchor="page" w:x="9465" w:y="209"/>
      <w:jc w:val="center"/>
      <w:rPr>
        <w:rStyle w:val="27"/>
      </w:rPr>
    </w:pPr>
    <w:r>
      <w:rPr>
        <w:rStyle w:val="27"/>
        <w:rFonts w:hint="eastAsia"/>
      </w:rPr>
      <w:t>—</w:t>
    </w:r>
    <w:r>
      <w:fldChar w:fldCharType="begin"/>
    </w:r>
    <w:r>
      <w:rPr>
        <w:rStyle w:val="27"/>
      </w:rPr>
      <w:instrText xml:space="preserve">PAGE  </w:instrText>
    </w:r>
    <w:r>
      <w:fldChar w:fldCharType="separate"/>
    </w:r>
    <w:r>
      <w:rPr>
        <w:rStyle w:val="27"/>
      </w:rPr>
      <w:t>3</w:t>
    </w:r>
    <w:r>
      <w:fldChar w:fldCharType="end"/>
    </w:r>
    <w:r>
      <w:rPr>
        <w:rStyle w:val="27"/>
        <w:rFonts w:hint="eastAsia"/>
      </w:rPr>
      <w:t>—</w:t>
    </w:r>
  </w:p>
  <w:p w14:paraId="32751FC3">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74A2E">
    <w:pPr>
      <w:pStyle w:val="19"/>
      <w:framePr w:wrap="notBeside" w:vAnchor="page" w:hAnchor="page" w:x="1625" w:y="15422"/>
      <w:rPr>
        <w:rStyle w:val="27"/>
      </w:rPr>
    </w:pPr>
    <w:r>
      <w:rPr>
        <w:rStyle w:val="27"/>
        <w:rFonts w:hint="eastAsia"/>
      </w:rPr>
      <w:t>—</w:t>
    </w:r>
    <w:r>
      <w:fldChar w:fldCharType="begin"/>
    </w:r>
    <w:r>
      <w:rPr>
        <w:rStyle w:val="27"/>
      </w:rPr>
      <w:instrText xml:space="preserve">PAGE  </w:instrText>
    </w:r>
    <w:r>
      <w:fldChar w:fldCharType="separate"/>
    </w:r>
    <w:r>
      <w:rPr>
        <w:rStyle w:val="27"/>
      </w:rPr>
      <w:t>4</w:t>
    </w:r>
    <w:r>
      <w:fldChar w:fldCharType="end"/>
    </w:r>
    <w:r>
      <w:rPr>
        <w:rStyle w:val="27"/>
        <w:rFonts w:hint="eastAsia"/>
      </w:rPr>
      <w:t>—</w:t>
    </w:r>
  </w:p>
  <w:p w14:paraId="6D89CD69">
    <w:pPr>
      <w:pStyle w:val="19"/>
      <w:ind w:right="360"/>
      <w:jc w:val="both"/>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CBC65">
    <w:pPr>
      <w:pStyle w:val="19"/>
      <w:ind w:right="700"/>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2"/>
      <w:suff w:val="nothing"/>
      <w:lvlText w:val=""/>
      <w:lvlJc w:val="left"/>
    </w:lvl>
    <w:lvl w:ilvl="1" w:tentative="0">
      <w:start w:val="0"/>
      <w:numFmt w:val="decimal"/>
      <w:pStyle w:val="3"/>
      <w:lvlText w:val="%2"/>
      <w:legacy w:legacy="1" w:legacySpace="0" w:legacyIndent="0"/>
      <w:lvlJc w:val="left"/>
      <w:rPr>
        <w:rFonts w:hint="eastAsia" w:ascii="宋体" w:eastAsia="宋体"/>
      </w:rPr>
    </w:lvl>
    <w:lvl w:ilvl="2" w:tentative="0">
      <w:start w:val="0"/>
      <w:numFmt w:val="decimal"/>
      <w:pStyle w:val="4"/>
      <w:lvlText w:val="%3"/>
      <w:legacy w:legacy="1" w:legacySpace="0" w:legacyIndent="0"/>
      <w:lvlJc w:val="left"/>
      <w:rPr>
        <w:rFonts w:hint="eastAsia" w:ascii="宋体" w:eastAsia="宋体"/>
      </w:rPr>
    </w:lvl>
    <w:lvl w:ilvl="3" w:tentative="0">
      <w:start w:val="0"/>
      <w:numFmt w:val="decimal"/>
      <w:pStyle w:val="5"/>
      <w:lvlText w:val="%4"/>
      <w:legacy w:legacy="1" w:legacySpace="0" w:legacyIndent="0"/>
      <w:lvlJc w:val="left"/>
      <w:rPr>
        <w:rFonts w:hint="eastAsia" w:ascii="宋体" w:eastAsia="宋体"/>
      </w:rPr>
    </w:lvl>
    <w:lvl w:ilvl="4" w:tentative="0">
      <w:start w:val="0"/>
      <w:numFmt w:val="decimal"/>
      <w:pStyle w:val="6"/>
      <w:lvlText w:val="%5"/>
      <w:legacy w:legacy="1" w:legacySpace="0" w:legacyIndent="0"/>
      <w:lvlJc w:val="left"/>
      <w:rPr>
        <w:rFonts w:hint="eastAsia" w:ascii="宋体" w:eastAsia="宋体"/>
      </w:rPr>
    </w:lvl>
    <w:lvl w:ilvl="5" w:tentative="0">
      <w:start w:val="0"/>
      <w:numFmt w:val="decimal"/>
      <w:pStyle w:val="7"/>
      <w:lvlText w:val="%6"/>
      <w:legacy w:legacy="1" w:legacySpace="0" w:legacyIndent="0"/>
      <w:lvlJc w:val="left"/>
      <w:rPr>
        <w:rFonts w:hint="eastAsia" w:ascii="宋体" w:eastAsia="宋体"/>
      </w:rPr>
    </w:lvl>
    <w:lvl w:ilvl="6" w:tentative="0">
      <w:start w:val="0"/>
      <w:numFmt w:val="decimal"/>
      <w:pStyle w:val="8"/>
      <w:lvlText w:val="%7"/>
      <w:legacy w:legacy="1" w:legacySpace="0" w:legacyIndent="0"/>
      <w:lvlJc w:val="left"/>
      <w:rPr>
        <w:rFonts w:hint="eastAsia" w:ascii="宋体" w:eastAsia="宋体"/>
      </w:rPr>
    </w:lvl>
    <w:lvl w:ilvl="7" w:tentative="0">
      <w:start w:val="0"/>
      <w:numFmt w:val="decimal"/>
      <w:pStyle w:val="9"/>
      <w:lvlText w:val="%8"/>
      <w:legacy w:legacy="1" w:legacySpace="0" w:legacyIndent="0"/>
      <w:lvlJc w:val="left"/>
      <w:rPr>
        <w:rFonts w:hint="eastAsia" w:ascii="宋体" w:eastAsia="宋体"/>
      </w:rPr>
    </w:lvl>
    <w:lvl w:ilvl="8" w:tentative="0">
      <w:start w:val="0"/>
      <w:numFmt w:val="decimal"/>
      <w:pStyle w:val="10"/>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alignBordersAndEdges w:val="1"/>
  <w:bordersDoNotSurroundHeader w:val="1"/>
  <w:bordersDoNotSurroundFooter w:val="1"/>
  <w:attachedTemplate r:id="rId1"/>
  <w:documentProtection w:enforcement="0"/>
  <w:defaultTabStop w:val="420"/>
  <w:evenAndOddHeaders w:val="1"/>
  <w:drawingGridHorizontalSpacing w:val="160"/>
  <w:drawingGridVerticalSpacing w:val="28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2Nzc5MzY5Yzk5OGQ0ZWM2NzEyNzk3NTZiYjcxZDkifQ=="/>
  </w:docVars>
  <w:rsids>
    <w:rsidRoot w:val="004522E4"/>
    <w:rsid w:val="00013C15"/>
    <w:rsid w:val="00026855"/>
    <w:rsid w:val="000306FC"/>
    <w:rsid w:val="000442F3"/>
    <w:rsid w:val="00055439"/>
    <w:rsid w:val="000661C3"/>
    <w:rsid w:val="00067264"/>
    <w:rsid w:val="000707C3"/>
    <w:rsid w:val="0007500D"/>
    <w:rsid w:val="000764FA"/>
    <w:rsid w:val="00086933"/>
    <w:rsid w:val="00087B28"/>
    <w:rsid w:val="000A057C"/>
    <w:rsid w:val="000A09CA"/>
    <w:rsid w:val="000A185A"/>
    <w:rsid w:val="000A6115"/>
    <w:rsid w:val="000A71A0"/>
    <w:rsid w:val="000A7BF7"/>
    <w:rsid w:val="000B770A"/>
    <w:rsid w:val="000C519D"/>
    <w:rsid w:val="000C680B"/>
    <w:rsid w:val="000D290E"/>
    <w:rsid w:val="000F2F72"/>
    <w:rsid w:val="00100454"/>
    <w:rsid w:val="00105145"/>
    <w:rsid w:val="0011050E"/>
    <w:rsid w:val="00111C07"/>
    <w:rsid w:val="001152E3"/>
    <w:rsid w:val="00121CD1"/>
    <w:rsid w:val="00122F7A"/>
    <w:rsid w:val="00125D9B"/>
    <w:rsid w:val="00171A1E"/>
    <w:rsid w:val="00172A80"/>
    <w:rsid w:val="00181312"/>
    <w:rsid w:val="001863DF"/>
    <w:rsid w:val="001947FE"/>
    <w:rsid w:val="00196E52"/>
    <w:rsid w:val="001A1AD6"/>
    <w:rsid w:val="001B1D84"/>
    <w:rsid w:val="001C6DC2"/>
    <w:rsid w:val="001D3AAD"/>
    <w:rsid w:val="001E1BA4"/>
    <w:rsid w:val="001E51FB"/>
    <w:rsid w:val="001F1310"/>
    <w:rsid w:val="001F4C0C"/>
    <w:rsid w:val="001F62EF"/>
    <w:rsid w:val="002000C9"/>
    <w:rsid w:val="00201E3E"/>
    <w:rsid w:val="0021022E"/>
    <w:rsid w:val="00212C0C"/>
    <w:rsid w:val="00212CA0"/>
    <w:rsid w:val="002357E0"/>
    <w:rsid w:val="00244D2F"/>
    <w:rsid w:val="00256800"/>
    <w:rsid w:val="002645C8"/>
    <w:rsid w:val="00266899"/>
    <w:rsid w:val="00267926"/>
    <w:rsid w:val="00270ED7"/>
    <w:rsid w:val="00284322"/>
    <w:rsid w:val="00290AAD"/>
    <w:rsid w:val="00293F60"/>
    <w:rsid w:val="00295B41"/>
    <w:rsid w:val="002975C2"/>
    <w:rsid w:val="002E7C4A"/>
    <w:rsid w:val="002F77E9"/>
    <w:rsid w:val="00316B2C"/>
    <w:rsid w:val="00317CA1"/>
    <w:rsid w:val="003224B6"/>
    <w:rsid w:val="0034421C"/>
    <w:rsid w:val="00344608"/>
    <w:rsid w:val="00380116"/>
    <w:rsid w:val="00382B0C"/>
    <w:rsid w:val="003960AB"/>
    <w:rsid w:val="003B62D6"/>
    <w:rsid w:val="003C3069"/>
    <w:rsid w:val="003D4612"/>
    <w:rsid w:val="003D4A69"/>
    <w:rsid w:val="003E1204"/>
    <w:rsid w:val="003E7947"/>
    <w:rsid w:val="0042419C"/>
    <w:rsid w:val="00426320"/>
    <w:rsid w:val="00441712"/>
    <w:rsid w:val="004431C9"/>
    <w:rsid w:val="004522E4"/>
    <w:rsid w:val="00457118"/>
    <w:rsid w:val="0046798A"/>
    <w:rsid w:val="00483FB0"/>
    <w:rsid w:val="004A2681"/>
    <w:rsid w:val="004A2D4C"/>
    <w:rsid w:val="004C2023"/>
    <w:rsid w:val="004E6B95"/>
    <w:rsid w:val="004E76D1"/>
    <w:rsid w:val="00505BDA"/>
    <w:rsid w:val="0051034E"/>
    <w:rsid w:val="005138BF"/>
    <w:rsid w:val="00515AD3"/>
    <w:rsid w:val="00517238"/>
    <w:rsid w:val="00517C96"/>
    <w:rsid w:val="005222E9"/>
    <w:rsid w:val="00523626"/>
    <w:rsid w:val="00523B57"/>
    <w:rsid w:val="00527317"/>
    <w:rsid w:val="005279E1"/>
    <w:rsid w:val="00530809"/>
    <w:rsid w:val="00566A3C"/>
    <w:rsid w:val="005700E1"/>
    <w:rsid w:val="00573D64"/>
    <w:rsid w:val="0057562A"/>
    <w:rsid w:val="005973AF"/>
    <w:rsid w:val="00597728"/>
    <w:rsid w:val="005A50EE"/>
    <w:rsid w:val="005A7107"/>
    <w:rsid w:val="005A72E3"/>
    <w:rsid w:val="005B083F"/>
    <w:rsid w:val="005B57F3"/>
    <w:rsid w:val="005B7062"/>
    <w:rsid w:val="005D6168"/>
    <w:rsid w:val="005E336C"/>
    <w:rsid w:val="00614A86"/>
    <w:rsid w:val="00617921"/>
    <w:rsid w:val="00641A4A"/>
    <w:rsid w:val="006432FD"/>
    <w:rsid w:val="00644584"/>
    <w:rsid w:val="006524A4"/>
    <w:rsid w:val="00654205"/>
    <w:rsid w:val="00654F18"/>
    <w:rsid w:val="00655224"/>
    <w:rsid w:val="00660F61"/>
    <w:rsid w:val="00661817"/>
    <w:rsid w:val="006639C5"/>
    <w:rsid w:val="00664248"/>
    <w:rsid w:val="00677BBE"/>
    <w:rsid w:val="006810E5"/>
    <w:rsid w:val="00693E23"/>
    <w:rsid w:val="006B2EEB"/>
    <w:rsid w:val="006C19B7"/>
    <w:rsid w:val="006C64D3"/>
    <w:rsid w:val="006D0B1E"/>
    <w:rsid w:val="006D0C71"/>
    <w:rsid w:val="006D664F"/>
    <w:rsid w:val="006F067A"/>
    <w:rsid w:val="006F2779"/>
    <w:rsid w:val="00713AD6"/>
    <w:rsid w:val="00714F51"/>
    <w:rsid w:val="0072201F"/>
    <w:rsid w:val="00726032"/>
    <w:rsid w:val="00741695"/>
    <w:rsid w:val="0074621E"/>
    <w:rsid w:val="00753606"/>
    <w:rsid w:val="007614D1"/>
    <w:rsid w:val="00764CFA"/>
    <w:rsid w:val="00767AFF"/>
    <w:rsid w:val="007736ED"/>
    <w:rsid w:val="0078342D"/>
    <w:rsid w:val="007A0ECB"/>
    <w:rsid w:val="007A2426"/>
    <w:rsid w:val="007A5C5B"/>
    <w:rsid w:val="007C18AB"/>
    <w:rsid w:val="007C2E68"/>
    <w:rsid w:val="007C4915"/>
    <w:rsid w:val="007D734D"/>
    <w:rsid w:val="007D7EA4"/>
    <w:rsid w:val="007E684F"/>
    <w:rsid w:val="008056B8"/>
    <w:rsid w:val="00807BDC"/>
    <w:rsid w:val="00821AE9"/>
    <w:rsid w:val="00824F92"/>
    <w:rsid w:val="0083404A"/>
    <w:rsid w:val="008433A5"/>
    <w:rsid w:val="0084688C"/>
    <w:rsid w:val="00882B79"/>
    <w:rsid w:val="008868E0"/>
    <w:rsid w:val="008933A6"/>
    <w:rsid w:val="008965E1"/>
    <w:rsid w:val="008A02BB"/>
    <w:rsid w:val="008A217C"/>
    <w:rsid w:val="008A546F"/>
    <w:rsid w:val="008A6105"/>
    <w:rsid w:val="008B3207"/>
    <w:rsid w:val="008B5CE5"/>
    <w:rsid w:val="008D44E3"/>
    <w:rsid w:val="00901A9A"/>
    <w:rsid w:val="009051CD"/>
    <w:rsid w:val="00905E6C"/>
    <w:rsid w:val="00907475"/>
    <w:rsid w:val="00907EF3"/>
    <w:rsid w:val="00911322"/>
    <w:rsid w:val="00911C2B"/>
    <w:rsid w:val="009238B8"/>
    <w:rsid w:val="0093318E"/>
    <w:rsid w:val="00937015"/>
    <w:rsid w:val="00947A3B"/>
    <w:rsid w:val="0095449A"/>
    <w:rsid w:val="00954F8B"/>
    <w:rsid w:val="0095665B"/>
    <w:rsid w:val="00961D25"/>
    <w:rsid w:val="00965766"/>
    <w:rsid w:val="00967E74"/>
    <w:rsid w:val="00971207"/>
    <w:rsid w:val="0098016C"/>
    <w:rsid w:val="00982ED9"/>
    <w:rsid w:val="00984430"/>
    <w:rsid w:val="009911E9"/>
    <w:rsid w:val="00994802"/>
    <w:rsid w:val="009A292C"/>
    <w:rsid w:val="009A4F0C"/>
    <w:rsid w:val="009A556E"/>
    <w:rsid w:val="009A7212"/>
    <w:rsid w:val="009C5E03"/>
    <w:rsid w:val="009D318F"/>
    <w:rsid w:val="009E5FC6"/>
    <w:rsid w:val="009F5600"/>
    <w:rsid w:val="00A17F3A"/>
    <w:rsid w:val="00A30DE5"/>
    <w:rsid w:val="00A40104"/>
    <w:rsid w:val="00A42ADA"/>
    <w:rsid w:val="00A450E9"/>
    <w:rsid w:val="00A4664C"/>
    <w:rsid w:val="00A576BD"/>
    <w:rsid w:val="00A61425"/>
    <w:rsid w:val="00A700D5"/>
    <w:rsid w:val="00A8355F"/>
    <w:rsid w:val="00A8757E"/>
    <w:rsid w:val="00AA2B61"/>
    <w:rsid w:val="00AA31BE"/>
    <w:rsid w:val="00AA70C1"/>
    <w:rsid w:val="00AA7CAA"/>
    <w:rsid w:val="00AB5EA8"/>
    <w:rsid w:val="00AC24FB"/>
    <w:rsid w:val="00AC3083"/>
    <w:rsid w:val="00AD0583"/>
    <w:rsid w:val="00AE5957"/>
    <w:rsid w:val="00AF2470"/>
    <w:rsid w:val="00B00851"/>
    <w:rsid w:val="00B01CCB"/>
    <w:rsid w:val="00B12BD2"/>
    <w:rsid w:val="00B21BDF"/>
    <w:rsid w:val="00B25A02"/>
    <w:rsid w:val="00B40F3A"/>
    <w:rsid w:val="00B43EFA"/>
    <w:rsid w:val="00B46B65"/>
    <w:rsid w:val="00B6074F"/>
    <w:rsid w:val="00B64181"/>
    <w:rsid w:val="00B74DC6"/>
    <w:rsid w:val="00B761F7"/>
    <w:rsid w:val="00B87DE4"/>
    <w:rsid w:val="00B97CC4"/>
    <w:rsid w:val="00BA3B9E"/>
    <w:rsid w:val="00BB1254"/>
    <w:rsid w:val="00BC13BD"/>
    <w:rsid w:val="00BC303B"/>
    <w:rsid w:val="00BC549A"/>
    <w:rsid w:val="00BE365B"/>
    <w:rsid w:val="00BE4CEE"/>
    <w:rsid w:val="00BF0550"/>
    <w:rsid w:val="00BF783D"/>
    <w:rsid w:val="00C066B0"/>
    <w:rsid w:val="00C07142"/>
    <w:rsid w:val="00C076FE"/>
    <w:rsid w:val="00C10E1C"/>
    <w:rsid w:val="00C128BE"/>
    <w:rsid w:val="00C179D6"/>
    <w:rsid w:val="00C27B32"/>
    <w:rsid w:val="00C57E93"/>
    <w:rsid w:val="00C60A5C"/>
    <w:rsid w:val="00C613B2"/>
    <w:rsid w:val="00C65C2B"/>
    <w:rsid w:val="00C95D21"/>
    <w:rsid w:val="00CA33C9"/>
    <w:rsid w:val="00CA4E8F"/>
    <w:rsid w:val="00CA64DB"/>
    <w:rsid w:val="00CA7859"/>
    <w:rsid w:val="00CC51E6"/>
    <w:rsid w:val="00CC7ABD"/>
    <w:rsid w:val="00CE2C13"/>
    <w:rsid w:val="00CE6A0E"/>
    <w:rsid w:val="00CE7660"/>
    <w:rsid w:val="00D03827"/>
    <w:rsid w:val="00D04E7B"/>
    <w:rsid w:val="00D07C4C"/>
    <w:rsid w:val="00D156AC"/>
    <w:rsid w:val="00D23822"/>
    <w:rsid w:val="00D316EB"/>
    <w:rsid w:val="00D34202"/>
    <w:rsid w:val="00D36B77"/>
    <w:rsid w:val="00D41004"/>
    <w:rsid w:val="00D47A0C"/>
    <w:rsid w:val="00D6578A"/>
    <w:rsid w:val="00D72545"/>
    <w:rsid w:val="00D749C8"/>
    <w:rsid w:val="00D82595"/>
    <w:rsid w:val="00D858CE"/>
    <w:rsid w:val="00D942E7"/>
    <w:rsid w:val="00DA08A9"/>
    <w:rsid w:val="00DA3413"/>
    <w:rsid w:val="00DC2705"/>
    <w:rsid w:val="00DC5A47"/>
    <w:rsid w:val="00DD7C67"/>
    <w:rsid w:val="00DF0EA7"/>
    <w:rsid w:val="00DF21C8"/>
    <w:rsid w:val="00DF653D"/>
    <w:rsid w:val="00DF7D5E"/>
    <w:rsid w:val="00E02E30"/>
    <w:rsid w:val="00E04541"/>
    <w:rsid w:val="00E14EBB"/>
    <w:rsid w:val="00E23515"/>
    <w:rsid w:val="00E24352"/>
    <w:rsid w:val="00E249F7"/>
    <w:rsid w:val="00E27088"/>
    <w:rsid w:val="00E33546"/>
    <w:rsid w:val="00E3485A"/>
    <w:rsid w:val="00E374F9"/>
    <w:rsid w:val="00E37771"/>
    <w:rsid w:val="00E400EE"/>
    <w:rsid w:val="00E44DD3"/>
    <w:rsid w:val="00E528DC"/>
    <w:rsid w:val="00E54F3B"/>
    <w:rsid w:val="00E57F4E"/>
    <w:rsid w:val="00E73D75"/>
    <w:rsid w:val="00E918CE"/>
    <w:rsid w:val="00E96FB3"/>
    <w:rsid w:val="00EA0051"/>
    <w:rsid w:val="00EA0269"/>
    <w:rsid w:val="00EA34FD"/>
    <w:rsid w:val="00EB37E5"/>
    <w:rsid w:val="00EC7D62"/>
    <w:rsid w:val="00ED5670"/>
    <w:rsid w:val="00EE07C1"/>
    <w:rsid w:val="00EF132A"/>
    <w:rsid w:val="00F01FEA"/>
    <w:rsid w:val="00F12039"/>
    <w:rsid w:val="00F15151"/>
    <w:rsid w:val="00F41F93"/>
    <w:rsid w:val="00F46C72"/>
    <w:rsid w:val="00F47AE6"/>
    <w:rsid w:val="00F53C4B"/>
    <w:rsid w:val="00F60959"/>
    <w:rsid w:val="00F6396C"/>
    <w:rsid w:val="00F703B4"/>
    <w:rsid w:val="00F72839"/>
    <w:rsid w:val="00F768DF"/>
    <w:rsid w:val="00F8102E"/>
    <w:rsid w:val="00FA46AB"/>
    <w:rsid w:val="00FB3DB4"/>
    <w:rsid w:val="00FC12CF"/>
    <w:rsid w:val="00FC15F6"/>
    <w:rsid w:val="00FC6146"/>
    <w:rsid w:val="00FE72CD"/>
    <w:rsid w:val="00FF3126"/>
    <w:rsid w:val="07014EA5"/>
    <w:rsid w:val="0A9A54A0"/>
    <w:rsid w:val="0B7C44D7"/>
    <w:rsid w:val="0DB53CD0"/>
    <w:rsid w:val="0FA37B0A"/>
    <w:rsid w:val="0FC24F0B"/>
    <w:rsid w:val="139E732A"/>
    <w:rsid w:val="199F0F95"/>
    <w:rsid w:val="27412511"/>
    <w:rsid w:val="2BD31A99"/>
    <w:rsid w:val="2E5463C5"/>
    <w:rsid w:val="37E1439D"/>
    <w:rsid w:val="48D80297"/>
    <w:rsid w:val="4D44414D"/>
    <w:rsid w:val="520472AA"/>
    <w:rsid w:val="56486A5C"/>
    <w:rsid w:val="567A604D"/>
    <w:rsid w:val="57C110E5"/>
    <w:rsid w:val="5BD339D1"/>
    <w:rsid w:val="5F9F642F"/>
    <w:rsid w:val="6B9838F3"/>
    <w:rsid w:val="701F5A89"/>
    <w:rsid w:val="70BB7EBB"/>
    <w:rsid w:val="7D361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3">
    <w:name w:val="heading 2"/>
    <w:basedOn w:val="1"/>
    <w:next w:val="1"/>
    <w:qFormat/>
    <w:uiPriority w:val="0"/>
    <w:pPr>
      <w:keepNext/>
      <w:keepLines/>
      <w:widowControl/>
      <w:numPr>
        <w:ilvl w:val="1"/>
        <w:numId w:val="1"/>
      </w:numPr>
      <w:adjustRightInd w:val="0"/>
      <w:spacing w:before="260" w:after="260" w:line="416" w:lineRule="atLeast"/>
      <w:textAlignment w:val="baseline"/>
      <w:outlineLvl w:val="1"/>
    </w:pPr>
    <w:rPr>
      <w:rFonts w:ascii="Arial" w:hAnsi="Arial" w:eastAsia="黑体"/>
      <w:b/>
      <w:kern w:val="0"/>
      <w:szCs w:val="20"/>
    </w:rPr>
  </w:style>
  <w:style w:type="paragraph" w:styleId="4">
    <w:name w:val="heading 3"/>
    <w:basedOn w:val="1"/>
    <w:next w:val="1"/>
    <w:qFormat/>
    <w:uiPriority w:val="0"/>
    <w:pPr>
      <w:keepNext/>
      <w:keepLines/>
      <w:widowControl/>
      <w:numPr>
        <w:ilvl w:val="2"/>
        <w:numId w:val="1"/>
      </w:numPr>
      <w:adjustRightInd w:val="0"/>
      <w:spacing w:before="260" w:after="260" w:line="416" w:lineRule="atLeast"/>
      <w:textAlignment w:val="baseline"/>
      <w:outlineLvl w:val="2"/>
    </w:pPr>
    <w:rPr>
      <w:b/>
      <w:kern w:val="0"/>
      <w:szCs w:val="20"/>
    </w:rPr>
  </w:style>
  <w:style w:type="paragraph" w:styleId="5">
    <w:name w:val="heading 4"/>
    <w:basedOn w:val="1"/>
    <w:next w:val="1"/>
    <w:qFormat/>
    <w:uiPriority w:val="0"/>
    <w:pPr>
      <w:keepNext/>
      <w:keepLines/>
      <w:widowControl/>
      <w:numPr>
        <w:ilvl w:val="3"/>
        <w:numId w:val="1"/>
      </w:numPr>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qFormat/>
    <w:uiPriority w:val="0"/>
    <w:pPr>
      <w:keepNext/>
      <w:keepLines/>
      <w:widowControl/>
      <w:numPr>
        <w:ilvl w:val="4"/>
        <w:numId w:val="1"/>
      </w:numPr>
      <w:adjustRightInd w:val="0"/>
      <w:spacing w:before="280" w:after="290" w:line="376" w:lineRule="atLeast"/>
      <w:textAlignment w:val="baseline"/>
      <w:outlineLvl w:val="4"/>
    </w:pPr>
    <w:rPr>
      <w:b/>
      <w:kern w:val="0"/>
      <w:sz w:val="28"/>
      <w:szCs w:val="20"/>
    </w:rPr>
  </w:style>
  <w:style w:type="paragraph" w:styleId="7">
    <w:name w:val="heading 6"/>
    <w:basedOn w:val="1"/>
    <w:next w:val="1"/>
    <w:qFormat/>
    <w:uiPriority w:val="0"/>
    <w:pPr>
      <w:keepNext/>
      <w:keepLines/>
      <w:widowControl/>
      <w:numPr>
        <w:ilvl w:val="5"/>
        <w:numId w:val="1"/>
      </w:numPr>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qFormat/>
    <w:uiPriority w:val="0"/>
    <w:pPr>
      <w:keepNext/>
      <w:keepLines/>
      <w:widowControl/>
      <w:numPr>
        <w:ilvl w:val="6"/>
        <w:numId w:val="1"/>
      </w:numPr>
      <w:adjustRightInd w:val="0"/>
      <w:spacing w:before="240" w:after="64" w:line="320" w:lineRule="atLeast"/>
      <w:textAlignment w:val="baseline"/>
      <w:outlineLvl w:val="6"/>
    </w:pPr>
    <w:rPr>
      <w:b/>
      <w:kern w:val="0"/>
      <w:sz w:val="24"/>
      <w:szCs w:val="20"/>
    </w:rPr>
  </w:style>
  <w:style w:type="paragraph" w:styleId="9">
    <w:name w:val="heading 8"/>
    <w:basedOn w:val="1"/>
    <w:next w:val="1"/>
    <w:qFormat/>
    <w:uiPriority w:val="0"/>
    <w:pPr>
      <w:keepNext/>
      <w:keepLines/>
      <w:widowControl/>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qFormat/>
    <w:uiPriority w:val="0"/>
    <w:pPr>
      <w:keepNext/>
      <w:keepLines/>
      <w:widowControl/>
      <w:numPr>
        <w:ilvl w:val="8"/>
        <w:numId w:val="1"/>
      </w:numPr>
      <w:adjustRightInd w:val="0"/>
      <w:spacing w:before="240" w:after="64" w:line="320" w:lineRule="atLeast"/>
      <w:textAlignment w:val="baseline"/>
      <w:outlineLvl w:val="8"/>
    </w:pPr>
    <w:rPr>
      <w:rFonts w:ascii="Arial" w:hAnsi="Arial" w:eastAsia="黑体"/>
      <w:kern w:val="0"/>
      <w:sz w:val="21"/>
      <w:szCs w:val="20"/>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Document Map"/>
    <w:basedOn w:val="1"/>
    <w:link w:val="30"/>
    <w:qFormat/>
    <w:uiPriority w:val="0"/>
    <w:rPr>
      <w:rFonts w:ascii="宋体" w:eastAsia="宋体"/>
      <w:sz w:val="18"/>
      <w:szCs w:val="18"/>
    </w:rPr>
  </w:style>
  <w:style w:type="paragraph" w:styleId="13">
    <w:name w:val="annotation text"/>
    <w:basedOn w:val="1"/>
    <w:link w:val="35"/>
    <w:semiHidden/>
    <w:unhideWhenUsed/>
    <w:qFormat/>
    <w:uiPriority w:val="0"/>
    <w:pPr>
      <w:jc w:val="left"/>
    </w:pPr>
  </w:style>
  <w:style w:type="paragraph" w:styleId="14">
    <w:name w:val="Body Text"/>
    <w:basedOn w:val="1"/>
    <w:qFormat/>
    <w:uiPriority w:val="0"/>
    <w:pPr>
      <w:jc w:val="center"/>
    </w:pPr>
    <w:rPr>
      <w:b/>
      <w:bCs/>
    </w:rPr>
  </w:style>
  <w:style w:type="paragraph" w:styleId="15">
    <w:name w:val="Body Text Indent"/>
    <w:basedOn w:val="1"/>
    <w:qFormat/>
    <w:uiPriority w:val="0"/>
    <w:pPr>
      <w:topLinePunct/>
      <w:autoSpaceDE w:val="0"/>
      <w:autoSpaceDN w:val="0"/>
      <w:spacing w:line="540" w:lineRule="atLeast"/>
      <w:ind w:firstLine="600"/>
    </w:pPr>
    <w:rPr>
      <w:rFonts w:ascii="华康简标题宋"/>
      <w:sz w:val="30"/>
    </w:rPr>
  </w:style>
  <w:style w:type="paragraph" w:styleId="16">
    <w:name w:val="Date"/>
    <w:basedOn w:val="1"/>
    <w:next w:val="1"/>
    <w:qFormat/>
    <w:uiPriority w:val="0"/>
    <w:pPr>
      <w:ind w:left="100" w:leftChars="2500"/>
    </w:pPr>
  </w:style>
  <w:style w:type="paragraph" w:styleId="17">
    <w:name w:val="Body Text Indent 2"/>
    <w:basedOn w:val="1"/>
    <w:qFormat/>
    <w:uiPriority w:val="0"/>
    <w:pPr>
      <w:ind w:firstLine="620" w:firstLineChars="200"/>
    </w:pPr>
    <w:rPr>
      <w:sz w:val="31"/>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leader="hyphen" w:pos="4153"/>
        <w:tab w:val="right" w:pos="8306"/>
      </w:tabs>
      <w:snapToGrid w:val="0"/>
      <w:jc w:val="right"/>
    </w:pPr>
    <w:rPr>
      <w:sz w:val="28"/>
      <w:szCs w:val="18"/>
    </w:rPr>
  </w:style>
  <w:style w:type="paragraph" w:styleId="20">
    <w:name w:val="header"/>
    <w:basedOn w:val="1"/>
    <w:qFormat/>
    <w:uiPriority w:val="0"/>
    <w:pPr>
      <w:tabs>
        <w:tab w:val="center" w:pos="4153"/>
        <w:tab w:val="right" w:pos="8306"/>
      </w:tabs>
      <w:snapToGrid w:val="0"/>
      <w:jc w:val="center"/>
    </w:pPr>
    <w:rPr>
      <w:sz w:val="18"/>
      <w:szCs w:val="18"/>
    </w:rPr>
  </w:style>
  <w:style w:type="paragraph" w:styleId="21">
    <w:name w:val="Body Text 2"/>
    <w:basedOn w:val="1"/>
    <w:qFormat/>
    <w:uiPriority w:val="0"/>
    <w:pPr>
      <w:widowControl/>
      <w:jc w:val="center"/>
    </w:pPr>
    <w:rPr>
      <w:rFonts w:eastAsia="华康简标题宋"/>
      <w:color w:val="FF0000"/>
      <w:sz w:val="42"/>
      <w:szCs w:val="23"/>
    </w:rPr>
  </w:style>
  <w:style w:type="paragraph" w:styleId="22">
    <w:name w:val="Normal (Web)"/>
    <w:basedOn w:val="1"/>
    <w:qFormat/>
    <w:uiPriority w:val="99"/>
    <w:pPr>
      <w:spacing w:after="150"/>
      <w:jc w:val="left"/>
    </w:pPr>
    <w:rPr>
      <w:rFonts w:ascii="Calibri" w:hAnsi="Calibri" w:eastAsia="宋体"/>
      <w:kern w:val="0"/>
      <w:sz w:val="20"/>
      <w:szCs w:val="20"/>
    </w:rPr>
  </w:style>
  <w:style w:type="paragraph" w:styleId="23">
    <w:name w:val="Title"/>
    <w:basedOn w:val="1"/>
    <w:qFormat/>
    <w:uiPriority w:val="0"/>
    <w:pPr>
      <w:spacing w:before="240" w:after="60"/>
      <w:jc w:val="center"/>
      <w:outlineLvl w:val="0"/>
    </w:pPr>
    <w:rPr>
      <w:rFonts w:eastAsia="华康简标题宋" w:cs="Arial"/>
      <w:bCs/>
      <w:sz w:val="44"/>
      <w:szCs w:val="32"/>
    </w:rPr>
  </w:style>
  <w:style w:type="paragraph" w:styleId="24">
    <w:name w:val="annotation subject"/>
    <w:basedOn w:val="13"/>
    <w:next w:val="13"/>
    <w:link w:val="36"/>
    <w:semiHidden/>
    <w:unhideWhenUsed/>
    <w:qFormat/>
    <w:uiPriority w:val="0"/>
    <w:rPr>
      <w:b/>
      <w:bCs/>
    </w:rPr>
  </w:style>
  <w:style w:type="character" w:styleId="27">
    <w:name w:val="page number"/>
    <w:qFormat/>
    <w:uiPriority w:val="0"/>
    <w:rPr>
      <w:rFonts w:ascii="Times New Roman" w:hAnsi="Times New Roman" w:eastAsia="仿宋_GB2312"/>
      <w:sz w:val="28"/>
      <w:lang w:eastAsia="zh-CN"/>
    </w:rPr>
  </w:style>
  <w:style w:type="character" w:styleId="28">
    <w:name w:val="Hyperlink"/>
    <w:qFormat/>
    <w:uiPriority w:val="0"/>
    <w:rPr>
      <w:color w:val="0000FF"/>
      <w:u w:val="single"/>
    </w:rPr>
  </w:style>
  <w:style w:type="character" w:styleId="29">
    <w:name w:val="annotation reference"/>
    <w:basedOn w:val="26"/>
    <w:semiHidden/>
    <w:unhideWhenUsed/>
    <w:qFormat/>
    <w:uiPriority w:val="0"/>
    <w:rPr>
      <w:sz w:val="21"/>
      <w:szCs w:val="21"/>
    </w:rPr>
  </w:style>
  <w:style w:type="character" w:customStyle="1" w:styleId="30">
    <w:name w:val="文档结构图 Char"/>
    <w:link w:val="12"/>
    <w:qFormat/>
    <w:uiPriority w:val="0"/>
    <w:rPr>
      <w:rFonts w:ascii="宋体"/>
      <w:kern w:val="2"/>
      <w:sz w:val="18"/>
      <w:szCs w:val="18"/>
    </w:rPr>
  </w:style>
  <w:style w:type="paragraph" w:customStyle="1" w:styleId="31">
    <w:name w:val="Char1"/>
    <w:basedOn w:val="12"/>
    <w:qFormat/>
    <w:uiPriority w:val="0"/>
  </w:style>
  <w:style w:type="paragraph" w:customStyle="1" w:styleId="32">
    <w:name w:val="Char"/>
    <w:basedOn w:val="1"/>
    <w:qFormat/>
    <w:uiPriority w:val="0"/>
    <w:pPr>
      <w:widowControl/>
      <w:spacing w:after="160" w:line="240" w:lineRule="exact"/>
      <w:jc w:val="left"/>
    </w:pPr>
  </w:style>
  <w:style w:type="paragraph" w:customStyle="1" w:styleId="33">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4">
    <w:name w:val="List Paragraph"/>
    <w:basedOn w:val="1"/>
    <w:qFormat/>
    <w:uiPriority w:val="99"/>
    <w:pPr>
      <w:ind w:firstLine="420" w:firstLineChars="200"/>
    </w:pPr>
  </w:style>
  <w:style w:type="character" w:customStyle="1" w:styleId="35">
    <w:name w:val="批注文字 Char"/>
    <w:basedOn w:val="26"/>
    <w:link w:val="13"/>
    <w:semiHidden/>
    <w:qFormat/>
    <w:uiPriority w:val="0"/>
    <w:rPr>
      <w:rFonts w:eastAsia="仿宋_GB2312"/>
      <w:kern w:val="2"/>
      <w:sz w:val="32"/>
      <w:szCs w:val="24"/>
    </w:rPr>
  </w:style>
  <w:style w:type="character" w:customStyle="1" w:styleId="36">
    <w:name w:val="批注主题 Char"/>
    <w:basedOn w:val="35"/>
    <w:link w:val="24"/>
    <w:semiHidden/>
    <w:qFormat/>
    <w:uiPriority w:val="0"/>
    <w:rPr>
      <w:rFonts w:eastAsia="仿宋_GB2312"/>
      <w:b/>
      <w:bCs/>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E:\001&#24066;&#25919;&#24220;&#20844;&#25991;&#26684;&#24335;&#27169;&#26495;\&#19996;&#24220;&#20989;&#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东府函模板</Template>
  <Company>dgcc</Company>
  <Pages>3</Pages>
  <Words>1475</Words>
  <Characters>1575</Characters>
  <Lines>12</Lines>
  <Paragraphs>3</Paragraphs>
  <TotalTime>18</TotalTime>
  <ScaleCrop>false</ScaleCrop>
  <LinksUpToDate>false</LinksUpToDate>
  <CharactersWithSpaces>1578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2024-11-11T03:55:00Z</dcterms:created>
  <dc:creator>yangl</dc:creator>
  <cp:lastModifiedBy>Administrator</cp:lastModifiedBy>
  <cp:lastPrinted>2024-11-11T07:06:00Z</cp:lastPrinted>
  <dcterms:modified xsi:type="dcterms:W3CDTF">2024-11-14T08:40:27Z</dcterms:modified>
  <dc:title>东莞市人民政府办公室</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45A1426B6A8F4570B1AA880707FC84ED_13</vt:lpwstr>
  </property>
</Properties>
</file>