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540" w:line="544" w:lineRule="exact"/>
        <w:ind w:left="0"/>
        <w:rPr>
          <w:rFonts w:hint="eastAsia" w:ascii="方正小标宋简体" w:eastAsia="方正小标宋简体"/>
        </w:rPr>
      </w:pPr>
      <w:bookmarkStart w:id="0" w:name="bookmark2"/>
      <w:bookmarkStart w:id="1" w:name="bookmark1"/>
      <w:bookmarkStart w:id="2" w:name="bookmark0"/>
      <w:r>
        <w:rPr>
          <w:rFonts w:hint="eastAsia" w:ascii="方正小标宋简体" w:eastAsia="方正小标宋简体"/>
        </w:rPr>
        <w:t>东莞市关于优化社会投资简易低风险</w:t>
      </w:r>
      <w:r>
        <w:rPr>
          <w:rFonts w:hint="eastAsia" w:ascii="方正小标宋简体" w:eastAsia="方正小标宋简体"/>
          <w:lang w:val="en-US" w:eastAsia="zh"/>
        </w:rPr>
        <w:t xml:space="preserve">      </w:t>
      </w:r>
      <w:r>
        <w:rPr>
          <w:rFonts w:hint="eastAsia" w:ascii="方正小标宋简体" w:eastAsia="方正小标宋简体"/>
        </w:rPr>
        <w:t>建设项目审批服务的实施意见</w:t>
      </w:r>
      <w:bookmarkEnd w:id="0"/>
      <w:bookmarkEnd w:id="1"/>
      <w:bookmarkEnd w:id="2"/>
      <w:bookmarkStart w:id="7" w:name="_GoBack"/>
      <w:bookmarkEnd w:id="7"/>
    </w:p>
    <w:p>
      <w:pPr>
        <w:pStyle w:val="13"/>
        <w:spacing w:line="55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为持续优化和改善我市营商环境，按照国务院办公厅《关于全面开展工程建设项目审批制度改革的实施意见》（国办发〔2019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11号）、《</w:t>
      </w:r>
      <w:r>
        <w:rPr>
          <w:rFonts w:hint="eastAsia" w:ascii="Times New Roman" w:hAnsi="Times New Roman" w:eastAsia="仿宋_GB2312" w:cs="Times New Roman"/>
          <w:sz w:val="32"/>
          <w:szCs w:val="32"/>
        </w:rPr>
        <w:t>住房和城乡建设部关于进一步深化工程建设项目审批制度改革推进全流程在线审批的通知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20〕97</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《广东省人民政府关于印发广东省全面开展工程建设项目审批制度改革实施方案的通知》（粤府〔2019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49号）、《东莞市人民政府关于印发〈东莞市全面开展工程建设项目审批制度改革实施方案〉的通知》（东府〔2019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57号）以及国家、省、市关于优化营商环境的工作部署和相关要求，结合我市实际，制定本实施意见。</w:t>
      </w:r>
      <w:bookmarkStart w:id="3" w:name="bookmark3"/>
    </w:p>
    <w:p>
      <w:pPr>
        <w:pStyle w:val="13"/>
        <w:spacing w:line="55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bookmarkEnd w:id="3"/>
      <w:r>
        <w:rPr>
          <w:rFonts w:ascii="Times New Roman" w:hAnsi="Times New Roman" w:eastAsia="仿宋_GB2312" w:cs="Times New Roman"/>
          <w:sz w:val="32"/>
          <w:szCs w:val="32"/>
        </w:rPr>
        <w:t>、社会投资简易低风险建设项目（以下简称简易低风险项目）是指：东莞市行政区域范围内，未使用各级公共财政投资进行建设，宗地内单体建筑面积</w:t>
      </w:r>
      <w:r>
        <w:rPr>
          <w:rFonts w:hint="eastAsia" w:ascii="Times New Roman" w:hAnsi="Times New Roman" w:eastAsia="仿宋_GB2312" w:cs="Times New Roman"/>
          <w:sz w:val="32"/>
          <w:szCs w:val="32"/>
        </w:rPr>
        <w:t>不大于10</w:t>
      </w:r>
      <w:r>
        <w:rPr>
          <w:rFonts w:ascii="Times New Roman" w:hAnsi="Times New Roman" w:eastAsia="仿宋_GB2312" w:cs="Times New Roman"/>
          <w:sz w:val="32"/>
          <w:szCs w:val="32"/>
        </w:rPr>
        <w:t>000平方米、建筑高度不大于24米</w:t>
      </w:r>
      <w:r>
        <w:rPr>
          <w:rFonts w:hint="eastAsia" w:ascii="Times New Roman" w:hAnsi="Times New Roman" w:eastAsia="仿宋_GB2312" w:cs="Times New Roman"/>
          <w:sz w:val="32"/>
          <w:szCs w:val="32"/>
        </w:rPr>
        <w:t>且</w:t>
      </w:r>
      <w:r>
        <w:rPr>
          <w:rStyle w:val="16"/>
          <w:rFonts w:hint="default"/>
        </w:rPr>
        <w:t>功能单一、技术要求简单的新建、改扩建仓库和厂房等工业建筑</w:t>
      </w:r>
      <w:r>
        <w:rPr>
          <w:rFonts w:hint="eastAsia" w:ascii="Times New Roman" w:hAnsi="Times New Roman" w:eastAsia="仿宋_GB2312" w:cs="Times New Roman"/>
          <w:sz w:val="32"/>
          <w:szCs w:val="32"/>
        </w:rPr>
        <w:t>。涉及高能耗、生产储存易燃易爆、</w:t>
      </w:r>
      <w:r>
        <w:rPr>
          <w:rFonts w:ascii="Times New Roman" w:hAnsi="Times New Roman" w:eastAsia="仿宋_GB2312" w:cs="Times New Roman"/>
          <w:sz w:val="32"/>
          <w:szCs w:val="32"/>
        </w:rPr>
        <w:t>有毒有害物品或</w:t>
      </w:r>
      <w:r>
        <w:rPr>
          <w:rFonts w:hint="eastAsia" w:ascii="Times New Roman" w:hAnsi="Times New Roman" w:eastAsia="仿宋_GB2312" w:cs="Times New Roman"/>
          <w:sz w:val="32"/>
          <w:szCs w:val="32"/>
        </w:rPr>
        <w:t>生态环境影响大的项目除外</w:t>
      </w:r>
      <w:r>
        <w:rPr>
          <w:rFonts w:ascii="Times New Roman" w:hAnsi="Times New Roman" w:eastAsia="仿宋_GB2312" w:cs="Times New Roman"/>
          <w:sz w:val="32"/>
          <w:szCs w:val="32"/>
        </w:rPr>
        <w:t>。</w:t>
      </w:r>
    </w:p>
    <w:p>
      <w:pPr>
        <w:pStyle w:val="13"/>
        <w:spacing w:line="558" w:lineRule="exact"/>
        <w:ind w:firstLine="640" w:firstLineChars="200"/>
        <w:jc w:val="both"/>
        <w:rPr>
          <w:rStyle w:val="16"/>
          <w:rFonts w:hint="default"/>
          <w:color w:val="auto"/>
        </w:rPr>
      </w:pPr>
      <w:r>
        <w:rPr>
          <w:rStyle w:val="16"/>
          <w:rFonts w:hint="default"/>
        </w:rPr>
        <w:t>二、简易低风险项目开通线上线下双办理通道。线上在广东政务服务网开通“社会投资简易低风险建设项目”网上服务专区；线下在市民服务中心的建设工程区</w:t>
      </w:r>
      <w:r>
        <w:rPr>
          <w:rStyle w:val="16"/>
          <w:rFonts w:hint="default"/>
          <w:color w:val="auto"/>
        </w:rPr>
        <w:t>开通综合窗收件模式</w:t>
      </w:r>
      <w:r>
        <w:rPr>
          <w:rStyle w:val="16"/>
          <w:rFonts w:hint="default"/>
        </w:rPr>
        <w:t>。申请企业根据建设规模自行申报业务，部门审批业务时确认是否符合简易低风险项目适用范围，</w:t>
      </w:r>
      <w:r>
        <w:rPr>
          <w:rStyle w:val="16"/>
          <w:rFonts w:hint="default"/>
          <w:color w:val="auto"/>
        </w:rPr>
        <w:t>方可享受相关政策。</w:t>
      </w:r>
    </w:p>
    <w:p>
      <w:pPr>
        <w:pStyle w:val="13"/>
        <w:spacing w:line="558" w:lineRule="exact"/>
        <w:ind w:firstLine="640" w:firstLineChars="200"/>
        <w:jc w:val="both"/>
        <w:rPr>
          <w:rStyle w:val="16"/>
          <w:rFonts w:hint="default"/>
          <w:color w:val="auto"/>
        </w:rPr>
      </w:pPr>
      <w:r>
        <w:rPr>
          <w:rStyle w:val="16"/>
          <w:rFonts w:hint="default"/>
          <w:color w:val="auto"/>
        </w:rPr>
        <w:t>对已完成部分审批服务手续且符合简易低风险项目适用范围的建设项目，在办理后续事项时可享受未办理事项的审批服务政策。</w:t>
      </w:r>
    </w:p>
    <w:p>
      <w:pPr>
        <w:ind w:firstLine="640" w:firstLineChars="200"/>
        <w:rPr>
          <w:sz w:val="32"/>
          <w:szCs w:val="32"/>
        </w:rPr>
      </w:pPr>
      <w:r>
        <w:rPr>
          <w:rFonts w:hint="eastAsia"/>
          <w:sz w:val="32"/>
          <w:szCs w:val="32"/>
        </w:rPr>
        <w:t>三、落实“一网通办”工作要求，在取得用地时一并完成企业投资项目备案</w:t>
      </w:r>
      <w:r>
        <w:rPr>
          <w:sz w:val="32"/>
          <w:szCs w:val="32"/>
        </w:rPr>
        <w:t>。</w:t>
      </w:r>
    </w:p>
    <w:p>
      <w:pPr>
        <w:ind w:firstLine="640" w:firstLineChars="200"/>
        <w:rPr>
          <w:sz w:val="32"/>
          <w:szCs w:val="32"/>
        </w:rPr>
      </w:pPr>
      <w:r>
        <w:rPr>
          <w:rFonts w:hint="eastAsia"/>
          <w:sz w:val="32"/>
          <w:szCs w:val="32"/>
        </w:rPr>
        <w:t>四</w:t>
      </w:r>
      <w:r>
        <w:rPr>
          <w:sz w:val="32"/>
          <w:szCs w:val="32"/>
        </w:rPr>
        <w:t>、简易低风险项目全流程总时限控制在1</w:t>
      </w:r>
      <w:r>
        <w:rPr>
          <w:rFonts w:hint="eastAsia"/>
          <w:sz w:val="32"/>
          <w:szCs w:val="32"/>
        </w:rPr>
        <w:t>5</w:t>
      </w:r>
      <w:r>
        <w:rPr>
          <w:sz w:val="32"/>
          <w:szCs w:val="32"/>
        </w:rPr>
        <w:t>个工作日内，划分为三个阶段：立项用地</w:t>
      </w:r>
      <w:r>
        <w:rPr>
          <w:rFonts w:hint="eastAsia"/>
          <w:sz w:val="32"/>
          <w:szCs w:val="32"/>
        </w:rPr>
        <w:t>规划</w:t>
      </w:r>
      <w:r>
        <w:rPr>
          <w:sz w:val="32"/>
          <w:szCs w:val="32"/>
        </w:rPr>
        <w:t>许可阶段、施工许可阶段（含工程建设许可阶段）和竣工验收阶段。</w:t>
      </w:r>
    </w:p>
    <w:p>
      <w:pPr>
        <w:ind w:firstLine="640" w:firstLineChars="200"/>
        <w:rPr>
          <w:sz w:val="32"/>
          <w:szCs w:val="32"/>
        </w:rPr>
      </w:pPr>
      <w:r>
        <w:rPr>
          <w:rFonts w:hint="eastAsia"/>
          <w:sz w:val="32"/>
          <w:szCs w:val="32"/>
        </w:rPr>
        <w:t>五</w:t>
      </w:r>
      <w:r>
        <w:rPr>
          <w:sz w:val="32"/>
          <w:szCs w:val="32"/>
        </w:rPr>
        <w:t>、全面推行一站式免费代办服务。市、园区（镇街）各级政务服务中心或政府指定机构对简易低风险项目开展全流程免费代办</w:t>
      </w:r>
      <w:r>
        <w:rPr>
          <w:rFonts w:hint="eastAsia"/>
          <w:sz w:val="32"/>
          <w:szCs w:val="32"/>
        </w:rPr>
        <w:t>服务</w:t>
      </w:r>
      <w:r>
        <w:rPr>
          <w:sz w:val="32"/>
          <w:szCs w:val="32"/>
        </w:rPr>
        <w:t>。</w:t>
      </w:r>
    </w:p>
    <w:p>
      <w:pPr>
        <w:ind w:firstLine="640" w:firstLineChars="200"/>
        <w:rPr>
          <w:sz w:val="32"/>
          <w:szCs w:val="32"/>
        </w:rPr>
      </w:pPr>
      <w:r>
        <w:rPr>
          <w:rFonts w:hint="eastAsia"/>
          <w:sz w:val="32"/>
          <w:szCs w:val="32"/>
        </w:rPr>
        <w:t>六</w:t>
      </w:r>
      <w:r>
        <w:rPr>
          <w:sz w:val="32"/>
          <w:szCs w:val="32"/>
        </w:rPr>
        <w:t>、建设单位可凭用地成交确认书签订土地使用权出让合同，同时申请办理用地规划许可证、企业投资项目备案等手续，立项用地规划许可阶段办理时限不超过</w:t>
      </w:r>
      <w:r>
        <w:rPr>
          <w:rFonts w:hint="eastAsia"/>
          <w:sz w:val="32"/>
          <w:szCs w:val="32"/>
        </w:rPr>
        <w:t>5</w:t>
      </w:r>
      <w:r>
        <w:rPr>
          <w:sz w:val="32"/>
          <w:szCs w:val="32"/>
        </w:rPr>
        <w:t>个工作日，建设单位按合同约定期限缴交地价款即可。</w:t>
      </w:r>
    </w:p>
    <w:p>
      <w:pPr>
        <w:ind w:firstLine="640" w:firstLineChars="200"/>
        <w:rPr>
          <w:sz w:val="32"/>
          <w:szCs w:val="32"/>
        </w:rPr>
      </w:pPr>
      <w:r>
        <w:rPr>
          <w:rFonts w:hint="eastAsia"/>
          <w:sz w:val="32"/>
          <w:szCs w:val="32"/>
        </w:rPr>
        <w:t>七</w:t>
      </w:r>
      <w:r>
        <w:rPr>
          <w:sz w:val="32"/>
          <w:szCs w:val="32"/>
        </w:rPr>
        <w:t>、加强用地清单制成果运用，在用地清单中已明确相关指标要求或已开展区域评估，项目符合城乡规划或建筑用途管理相关规定的，无需开展</w:t>
      </w:r>
      <w:r>
        <w:rPr>
          <w:rFonts w:hint="eastAsia"/>
          <w:sz w:val="32"/>
          <w:szCs w:val="32"/>
        </w:rPr>
        <w:t>水资源论证、</w:t>
      </w:r>
      <w:r>
        <w:rPr>
          <w:sz w:val="32"/>
          <w:szCs w:val="32"/>
        </w:rPr>
        <w:t>交通影响评价、洪水影响评价、节能评价、地震安全性评价、地质灾害危险性评估等评估评价工作。</w:t>
      </w:r>
    </w:p>
    <w:p>
      <w:pPr>
        <w:ind w:firstLine="640" w:firstLineChars="200"/>
        <w:rPr>
          <w:sz w:val="32"/>
          <w:szCs w:val="32"/>
        </w:rPr>
      </w:pPr>
      <w:r>
        <w:rPr>
          <w:rFonts w:hint="eastAsia"/>
          <w:sz w:val="32"/>
          <w:szCs w:val="32"/>
        </w:rPr>
        <w:t>八</w:t>
      </w:r>
      <w:r>
        <w:rPr>
          <w:sz w:val="32"/>
          <w:szCs w:val="32"/>
        </w:rPr>
        <w:t>、</w:t>
      </w:r>
      <w:r>
        <w:rPr>
          <w:rFonts w:hint="eastAsia"/>
          <w:sz w:val="32"/>
          <w:szCs w:val="32"/>
        </w:rPr>
        <w:t>建设单位具备工程项目管理能力的，可不聘用工程监理，通过</w:t>
      </w:r>
      <w:r>
        <w:rPr>
          <w:rFonts w:hint="eastAsia" w:cs="仿宋_GB2312"/>
          <w:sz w:val="32"/>
          <w:szCs w:val="32"/>
        </w:rPr>
        <w:t>聘请具有工程专业本科(含本科)以上学历，或注册建造师、注册监理工程师等专业技术人员担任内部监理，并承担工程监理的法定责任和义务。</w:t>
      </w:r>
      <w:r>
        <w:rPr>
          <w:sz w:val="32"/>
          <w:szCs w:val="32"/>
        </w:rPr>
        <w:t>岩土工程勘察费用由项目所在地的园区管委会、镇人民政府（街道办事处）相关部门或土地</w:t>
      </w:r>
      <w:r>
        <w:rPr>
          <w:rFonts w:hint="eastAsia"/>
          <w:sz w:val="32"/>
          <w:szCs w:val="32"/>
        </w:rPr>
        <w:t>储备</w:t>
      </w:r>
      <w:r>
        <w:rPr>
          <w:sz w:val="32"/>
          <w:szCs w:val="32"/>
        </w:rPr>
        <w:t>部门支付并委托符合资质要求的相关单位开展工作</w:t>
      </w:r>
      <w:r>
        <w:rPr>
          <w:rFonts w:hint="eastAsia"/>
          <w:sz w:val="32"/>
          <w:szCs w:val="32"/>
        </w:rPr>
        <w:t>，</w:t>
      </w:r>
      <w:r>
        <w:rPr>
          <w:sz w:val="32"/>
          <w:szCs w:val="32"/>
        </w:rPr>
        <w:t>在土地出让前完成</w:t>
      </w:r>
      <w:r>
        <w:rPr>
          <w:rFonts w:ascii="仿宋_GB2312"/>
          <w:sz w:val="32"/>
        </w:rPr>
        <w:t>，勘察报告在土地出让时免费提供给企业</w:t>
      </w:r>
      <w:r>
        <w:rPr>
          <w:sz w:val="32"/>
          <w:szCs w:val="32"/>
        </w:rPr>
        <w:t>。推行简易低风险项目土地带方案出让。</w:t>
      </w:r>
    </w:p>
    <w:p>
      <w:pPr>
        <w:ind w:firstLine="640" w:firstLineChars="200"/>
        <w:rPr>
          <w:sz w:val="32"/>
          <w:szCs w:val="32"/>
        </w:rPr>
      </w:pPr>
      <w:r>
        <w:rPr>
          <w:rFonts w:hint="eastAsia"/>
          <w:sz w:val="32"/>
          <w:szCs w:val="32"/>
        </w:rPr>
        <w:t>九</w:t>
      </w:r>
      <w:r>
        <w:rPr>
          <w:sz w:val="32"/>
          <w:szCs w:val="32"/>
        </w:rPr>
        <w:t>、免于核发污水排入排水管网许可证（施工临时排水许可证），由工建系统推送施工许可信息至</w:t>
      </w:r>
      <w:r>
        <w:rPr>
          <w:rFonts w:hint="eastAsia"/>
          <w:sz w:val="32"/>
          <w:szCs w:val="32"/>
        </w:rPr>
        <w:t>污水</w:t>
      </w:r>
      <w:r>
        <w:rPr>
          <w:sz w:val="32"/>
          <w:szCs w:val="32"/>
        </w:rPr>
        <w:t>主管部门。</w:t>
      </w:r>
    </w:p>
    <w:p>
      <w:pPr>
        <w:ind w:firstLine="640" w:firstLineChars="200"/>
        <w:rPr>
          <w:sz w:val="32"/>
          <w:szCs w:val="32"/>
        </w:rPr>
      </w:pPr>
      <w:r>
        <w:rPr>
          <w:rFonts w:hint="eastAsia"/>
          <w:sz w:val="32"/>
          <w:szCs w:val="32"/>
        </w:rPr>
        <w:t>十</w:t>
      </w:r>
      <w:r>
        <w:rPr>
          <w:sz w:val="32"/>
          <w:szCs w:val="32"/>
        </w:rPr>
        <w:t>、不涉及环境敏感区的简易低风险项目无需办理环境影响评价审批和备案手续。</w:t>
      </w:r>
    </w:p>
    <w:p>
      <w:pPr>
        <w:ind w:firstLine="640" w:firstLineChars="200"/>
        <w:rPr>
          <w:sz w:val="32"/>
          <w:szCs w:val="32"/>
        </w:rPr>
      </w:pPr>
      <w:r>
        <w:rPr>
          <w:rFonts w:hint="eastAsia"/>
          <w:sz w:val="32"/>
          <w:szCs w:val="32"/>
        </w:rPr>
        <w:t>十一</w:t>
      </w:r>
      <w:r>
        <w:rPr>
          <w:sz w:val="32"/>
          <w:szCs w:val="32"/>
        </w:rPr>
        <w:t>、把工程建设许可阶段和施工许可阶段合并为一个审批阶段。建设单位通过工建系统可并联提出建设工程规划许可证和建筑工程施工许可证申请，自然资源部门和住房城乡建设部门同步完成审批。工程规划许可审批不通过，则施工许可不予核发；工程规划许可审批通过，施工许可审批不通过，建设单位再次申报时无需办理工程规划许可证。阶段审批时限压缩至5个工作日，建设单位一次申报，同步办理，通过后同时获取建设工程规划许可证、建筑工程施工许可证等审批证照。</w:t>
      </w:r>
    </w:p>
    <w:p>
      <w:pPr>
        <w:ind w:firstLine="640" w:firstLineChars="200"/>
        <w:rPr>
          <w:sz w:val="32"/>
          <w:szCs w:val="32"/>
        </w:rPr>
      </w:pPr>
      <w:r>
        <w:rPr>
          <w:sz w:val="32"/>
          <w:szCs w:val="32"/>
        </w:rPr>
        <w:t>建设工程规划许可证和建筑工程施工许可证相关信息通过工建系统推送至公安、水务、城管、交通运输</w:t>
      </w:r>
      <w:r>
        <w:rPr>
          <w:rFonts w:hint="eastAsia"/>
          <w:sz w:val="32"/>
          <w:szCs w:val="32"/>
        </w:rPr>
        <w:t>、供电</w:t>
      </w:r>
      <w:r>
        <w:rPr>
          <w:sz w:val="32"/>
          <w:szCs w:val="32"/>
        </w:rPr>
        <w:t>等相关部门，公安部门同步开展门牌核准工作，在工程建设项目竣工验收时一并发放门牌号码，各相关部门依法落实事中事后监管责任。</w:t>
      </w:r>
    </w:p>
    <w:p>
      <w:pPr>
        <w:ind w:firstLine="640" w:firstLineChars="200"/>
        <w:rPr>
          <w:sz w:val="32"/>
          <w:szCs w:val="32"/>
        </w:rPr>
      </w:pPr>
      <w:r>
        <w:rPr>
          <w:sz w:val="32"/>
          <w:szCs w:val="32"/>
        </w:rPr>
        <w:t>十</w:t>
      </w:r>
      <w:r>
        <w:rPr>
          <w:rFonts w:hint="eastAsia"/>
          <w:sz w:val="32"/>
          <w:szCs w:val="32"/>
        </w:rPr>
        <w:t>二</w:t>
      </w:r>
      <w:r>
        <w:rPr>
          <w:sz w:val="32"/>
          <w:szCs w:val="32"/>
        </w:rPr>
        <w:t>、</w:t>
      </w:r>
      <w:r>
        <w:rPr>
          <w:rFonts w:hint="eastAsia"/>
          <w:sz w:val="32"/>
          <w:szCs w:val="32"/>
        </w:rPr>
        <w:t>建设、勘察、设计单位对建设工程设计方案作出符合规划条件、相关技术和规范的承诺的，建设工程规划许可证核发时无需进行设计方案审查；</w:t>
      </w:r>
      <w:r>
        <w:rPr>
          <w:sz w:val="32"/>
          <w:szCs w:val="32"/>
        </w:rPr>
        <w:t>建设单位对带方案出让用地的项目承诺按出让方案进行规划报建的，可免于建设工程规划许可批前公示</w:t>
      </w:r>
      <w:r>
        <w:rPr>
          <w:rFonts w:hint="eastAsia"/>
          <w:sz w:val="32"/>
          <w:szCs w:val="32"/>
        </w:rPr>
        <w:t>；施工图设计文件在省施工图审查管理系统中上传的，办理建筑工程施工许可证时无需提交施工图设计文件审查合格书。</w:t>
      </w:r>
    </w:p>
    <w:p>
      <w:pPr>
        <w:ind w:firstLine="640" w:firstLineChars="200"/>
        <w:rPr>
          <w:sz w:val="32"/>
          <w:szCs w:val="32"/>
        </w:rPr>
      </w:pPr>
      <w:r>
        <w:rPr>
          <w:sz w:val="32"/>
          <w:szCs w:val="32"/>
        </w:rPr>
        <w:t>十</w:t>
      </w:r>
      <w:r>
        <w:rPr>
          <w:rFonts w:hint="eastAsia"/>
          <w:sz w:val="32"/>
          <w:szCs w:val="32"/>
        </w:rPr>
        <w:t>三</w:t>
      </w:r>
      <w:r>
        <w:rPr>
          <w:sz w:val="32"/>
          <w:szCs w:val="32"/>
        </w:rPr>
        <w:t>、加快供排水、供电、燃气接入服务，建设单位在办理建设工程规划许可和施工许可并联审批时，由工建系统自动向生态环境、水务部门以及供电</w:t>
      </w:r>
      <w:r>
        <w:rPr>
          <w:rFonts w:hint="eastAsia"/>
          <w:sz w:val="32"/>
          <w:szCs w:val="32"/>
        </w:rPr>
        <w:t>、</w:t>
      </w:r>
      <w:r>
        <w:rPr>
          <w:sz w:val="32"/>
          <w:szCs w:val="32"/>
        </w:rPr>
        <w:t>供水、燃气等市政公用服务企业推送供排水、供电、燃气等接入申请信息，</w:t>
      </w:r>
      <w:r>
        <w:rPr>
          <w:rFonts w:hint="eastAsia"/>
          <w:sz w:val="32"/>
          <w:szCs w:val="32"/>
        </w:rPr>
        <w:t>市政公用服务企业自动获取相关信息用以办理相应的报装手续，</w:t>
      </w:r>
      <w:r>
        <w:rPr>
          <w:sz w:val="32"/>
          <w:szCs w:val="32"/>
        </w:rPr>
        <w:t>建设单位</w:t>
      </w:r>
      <w:r>
        <w:rPr>
          <w:rFonts w:hint="eastAsia"/>
          <w:sz w:val="32"/>
          <w:szCs w:val="32"/>
        </w:rPr>
        <w:t>无需另行办理申</w:t>
      </w:r>
      <w:r>
        <w:rPr>
          <w:sz w:val="32"/>
          <w:szCs w:val="32"/>
        </w:rPr>
        <w:t>报。规划红线范围外的管道敷设由供水、供电、燃气等市政公用服务企业负责建设，其中对于产权属政府的管线敷设接驳费用由市、园区（镇街）财政承担，对于产权属企业或用于经营项目的管线敷设接驳费用由市政公用服务企业承担。</w:t>
      </w:r>
    </w:p>
    <w:p>
      <w:pPr>
        <w:ind w:firstLine="640" w:firstLineChars="200"/>
        <w:rPr>
          <w:sz w:val="32"/>
          <w:szCs w:val="32"/>
        </w:rPr>
      </w:pPr>
      <w:r>
        <w:rPr>
          <w:sz w:val="32"/>
          <w:szCs w:val="32"/>
        </w:rPr>
        <w:t>十</w:t>
      </w:r>
      <w:r>
        <w:rPr>
          <w:rFonts w:hint="eastAsia"/>
          <w:sz w:val="32"/>
          <w:szCs w:val="32"/>
        </w:rPr>
        <w:t>四</w:t>
      </w:r>
      <w:r>
        <w:rPr>
          <w:sz w:val="32"/>
          <w:szCs w:val="32"/>
        </w:rPr>
        <w:t>、市政公用服务企业办理以下范围内</w:t>
      </w:r>
      <w:r>
        <w:rPr>
          <w:rFonts w:hint="eastAsia"/>
          <w:sz w:val="32"/>
          <w:szCs w:val="32"/>
        </w:rPr>
        <w:t>供排水、供电</w:t>
      </w:r>
      <w:r>
        <w:rPr>
          <w:sz w:val="32"/>
          <w:szCs w:val="32"/>
        </w:rPr>
        <w:t>设施接入服务的，不需办理项目备案、规划、施工、占用挖掘道路、砍伐迁移树木等行政许可，施工方案</w:t>
      </w:r>
      <w:r>
        <w:rPr>
          <w:rFonts w:hint="eastAsia"/>
          <w:sz w:val="32"/>
          <w:szCs w:val="32"/>
        </w:rPr>
        <w:t>、交通疏导方案</w:t>
      </w:r>
      <w:r>
        <w:rPr>
          <w:sz w:val="32"/>
          <w:szCs w:val="32"/>
        </w:rPr>
        <w:t>稳定后通过工建系统推送</w:t>
      </w:r>
      <w:r>
        <w:rPr>
          <w:rFonts w:hint="eastAsia"/>
          <w:sz w:val="32"/>
          <w:szCs w:val="32"/>
        </w:rPr>
        <w:t>公安</w:t>
      </w:r>
      <w:r>
        <w:rPr>
          <w:rFonts w:hint="eastAsia" w:ascii="仿宋_GB2312" w:cs="仿宋_GB2312"/>
          <w:sz w:val="32"/>
          <w:szCs w:val="32"/>
        </w:rPr>
        <w:t>、</w:t>
      </w:r>
      <w:r>
        <w:rPr>
          <w:sz w:val="32"/>
          <w:szCs w:val="32"/>
        </w:rPr>
        <w:t>水务、城管、</w:t>
      </w:r>
      <w:r>
        <w:rPr>
          <w:rFonts w:hint="eastAsia" w:ascii="仿宋_GB2312" w:cs="仿宋_GB2312"/>
          <w:sz w:val="32"/>
          <w:szCs w:val="32"/>
        </w:rPr>
        <w:t>交通运输、</w:t>
      </w:r>
      <w:r>
        <w:rPr>
          <w:sz w:val="32"/>
          <w:szCs w:val="32"/>
        </w:rPr>
        <w:t>规划等部门。达到接入条件后，市政公用服务企业应将相关信息推送城管、</w:t>
      </w:r>
      <w:r>
        <w:rPr>
          <w:rFonts w:hint="eastAsia" w:ascii="仿宋_GB2312" w:cs="仿宋_GB2312"/>
          <w:sz w:val="32"/>
          <w:szCs w:val="32"/>
        </w:rPr>
        <w:t>交通运输</w:t>
      </w:r>
      <w:r>
        <w:rPr>
          <w:sz w:val="32"/>
          <w:szCs w:val="32"/>
        </w:rPr>
        <w:t>部门，并负责按标准恢复道路。</w:t>
      </w:r>
    </w:p>
    <w:p>
      <w:pPr>
        <w:ind w:firstLine="640" w:firstLineChars="200"/>
        <w:rPr>
          <w:sz w:val="32"/>
          <w:szCs w:val="32"/>
        </w:rPr>
      </w:pPr>
      <w:r>
        <w:rPr>
          <w:rFonts w:hint="eastAsia"/>
          <w:sz w:val="32"/>
          <w:szCs w:val="32"/>
        </w:rPr>
        <w:t>实施</w:t>
      </w:r>
      <w:r>
        <w:rPr>
          <w:sz w:val="32"/>
          <w:szCs w:val="32"/>
        </w:rPr>
        <w:t>范围：</w:t>
      </w:r>
      <w:bookmarkStart w:id="4" w:name="bookmark12"/>
      <w:bookmarkEnd w:id="4"/>
    </w:p>
    <w:p>
      <w:pPr>
        <w:ind w:firstLine="640" w:firstLineChars="200"/>
        <w:rPr>
          <w:sz w:val="32"/>
          <w:szCs w:val="32"/>
        </w:rPr>
      </w:pPr>
      <w:r>
        <w:rPr>
          <w:rFonts w:hint="eastAsia"/>
          <w:sz w:val="32"/>
          <w:szCs w:val="32"/>
        </w:rPr>
        <w:t xml:space="preserve">1. </w:t>
      </w:r>
      <w:r>
        <w:rPr>
          <w:sz w:val="32"/>
          <w:szCs w:val="32"/>
        </w:rPr>
        <w:t>供水：连接水管的直径不大于</w:t>
      </w:r>
      <w:r>
        <w:rPr>
          <w:rFonts w:hint="eastAsia"/>
          <w:sz w:val="32"/>
          <w:szCs w:val="32"/>
        </w:rPr>
        <w:t>DN150</w:t>
      </w:r>
      <w:r>
        <w:rPr>
          <w:sz w:val="32"/>
          <w:szCs w:val="32"/>
        </w:rPr>
        <w:t>，距离现有供水管接驳点不大于</w:t>
      </w:r>
      <w:r>
        <w:rPr>
          <w:rFonts w:hint="eastAsia"/>
          <w:sz w:val="32"/>
          <w:szCs w:val="32"/>
        </w:rPr>
        <w:t>20</w:t>
      </w:r>
      <w:r>
        <w:rPr>
          <w:sz w:val="32"/>
          <w:szCs w:val="32"/>
        </w:rPr>
        <w:t>0米。</w:t>
      </w:r>
      <w:bookmarkStart w:id="5" w:name="bookmark13"/>
      <w:bookmarkEnd w:id="5"/>
    </w:p>
    <w:p>
      <w:pPr>
        <w:ind w:firstLine="640" w:firstLineChars="200"/>
        <w:rPr>
          <w:sz w:val="32"/>
          <w:szCs w:val="32"/>
        </w:rPr>
      </w:pPr>
      <w:r>
        <w:rPr>
          <w:rFonts w:hint="eastAsia"/>
          <w:sz w:val="32"/>
          <w:szCs w:val="32"/>
        </w:rPr>
        <w:t xml:space="preserve">2. </w:t>
      </w:r>
      <w:r>
        <w:rPr>
          <w:sz w:val="32"/>
          <w:szCs w:val="32"/>
        </w:rPr>
        <w:t>排水：日排水量不大于50吨，连接水管的直径不大于50厘米。距离现有下水道接口不大于</w:t>
      </w:r>
      <w:r>
        <w:rPr>
          <w:rFonts w:hint="eastAsia"/>
          <w:sz w:val="32"/>
          <w:szCs w:val="32"/>
        </w:rPr>
        <w:t>20</w:t>
      </w:r>
      <w:r>
        <w:rPr>
          <w:sz w:val="32"/>
          <w:szCs w:val="32"/>
        </w:rPr>
        <w:t>0米。</w:t>
      </w:r>
      <w:bookmarkStart w:id="6" w:name="bookmark14"/>
      <w:bookmarkEnd w:id="6"/>
    </w:p>
    <w:p>
      <w:pPr>
        <w:ind w:firstLine="640" w:firstLineChars="200"/>
        <w:rPr>
          <w:sz w:val="32"/>
          <w:szCs w:val="32"/>
        </w:rPr>
      </w:pPr>
      <w:r>
        <w:rPr>
          <w:rFonts w:hint="eastAsia"/>
          <w:sz w:val="32"/>
          <w:szCs w:val="32"/>
        </w:rPr>
        <w:t xml:space="preserve">3. </w:t>
      </w:r>
      <w:r>
        <w:rPr>
          <w:sz w:val="32"/>
          <w:szCs w:val="32"/>
        </w:rPr>
        <w:t>供电：</w:t>
      </w:r>
      <w:r>
        <w:rPr>
          <w:rFonts w:hint="eastAsia"/>
          <w:sz w:val="32"/>
          <w:szCs w:val="32"/>
        </w:rPr>
        <w:t>全市新装、增容等业扩服务的低压（220伏/380伏）电力外线工程</w:t>
      </w:r>
      <w:r>
        <w:rPr>
          <w:sz w:val="32"/>
          <w:szCs w:val="32"/>
        </w:rPr>
        <w:t>。</w:t>
      </w:r>
    </w:p>
    <w:p>
      <w:pPr>
        <w:ind w:firstLine="640" w:firstLineChars="200"/>
        <w:rPr>
          <w:sz w:val="32"/>
          <w:szCs w:val="32"/>
        </w:rPr>
      </w:pPr>
      <w:r>
        <w:rPr>
          <w:rFonts w:hint="eastAsia"/>
          <w:sz w:val="32"/>
          <w:szCs w:val="32"/>
        </w:rPr>
        <w:t>注明：城市主干道、快速路、国省县道公路，和限速大于30公里/小时的市政道路不适用供排水的免行政审批手续。施工时，占用机动车道数量不能超过道路总车道数的一半。</w:t>
      </w:r>
    </w:p>
    <w:p>
      <w:pPr>
        <w:ind w:firstLine="640" w:firstLineChars="200"/>
        <w:rPr>
          <w:sz w:val="32"/>
          <w:szCs w:val="32"/>
        </w:rPr>
      </w:pPr>
      <w:r>
        <w:rPr>
          <w:sz w:val="32"/>
          <w:szCs w:val="32"/>
        </w:rPr>
        <w:t>十</w:t>
      </w:r>
      <w:r>
        <w:rPr>
          <w:rFonts w:hint="eastAsia"/>
          <w:sz w:val="32"/>
          <w:szCs w:val="32"/>
        </w:rPr>
        <w:t>五</w:t>
      </w:r>
      <w:r>
        <w:rPr>
          <w:sz w:val="32"/>
          <w:szCs w:val="32"/>
        </w:rPr>
        <w:t>、取消简易低风险项目施工图设计审查，各项行政许可均不得以施工图设计审查合格文件作为前置条件。</w:t>
      </w:r>
      <w:r>
        <w:rPr>
          <w:rFonts w:hint="eastAsia"/>
          <w:sz w:val="32"/>
          <w:szCs w:val="32"/>
        </w:rPr>
        <w:t>由建设单位及勘察设计单位在申请施工许可证前自行将施工图设计文件（含勘察文件）上传至广东省数字化审图系统，上传的施工图设计文件作为现场施工的依据。</w:t>
      </w:r>
    </w:p>
    <w:p>
      <w:pPr>
        <w:ind w:firstLine="640" w:firstLineChars="200"/>
        <w:rPr>
          <w:sz w:val="32"/>
          <w:szCs w:val="32"/>
        </w:rPr>
      </w:pPr>
      <w:r>
        <w:rPr>
          <w:sz w:val="32"/>
          <w:szCs w:val="32"/>
        </w:rPr>
        <w:t>十</w:t>
      </w:r>
      <w:r>
        <w:rPr>
          <w:rFonts w:hint="eastAsia"/>
          <w:sz w:val="32"/>
          <w:szCs w:val="32"/>
        </w:rPr>
        <w:t>六</w:t>
      </w:r>
      <w:r>
        <w:rPr>
          <w:sz w:val="32"/>
          <w:szCs w:val="32"/>
        </w:rPr>
        <w:t>、简易低风险项目将五方责任主体组织的竣工验收、规划条件核实、工程消防验收</w:t>
      </w:r>
      <w:r>
        <w:rPr>
          <w:rFonts w:hint="eastAsia"/>
          <w:sz w:val="32"/>
          <w:szCs w:val="32"/>
        </w:rPr>
        <w:t>、人防工程验收与</w:t>
      </w:r>
      <w:r>
        <w:rPr>
          <w:sz w:val="32"/>
          <w:szCs w:val="32"/>
        </w:rPr>
        <w:t>建设工程城建档案验收合并为一个联合验收事项办理，</w:t>
      </w:r>
      <w:r>
        <w:rPr>
          <w:rFonts w:hint="eastAsia"/>
          <w:sz w:val="32"/>
          <w:szCs w:val="32"/>
        </w:rPr>
        <w:t>同步向</w:t>
      </w:r>
      <w:r>
        <w:rPr>
          <w:sz w:val="32"/>
          <w:szCs w:val="32"/>
        </w:rPr>
        <w:t>供电、供水、供气等企业</w:t>
      </w:r>
      <w:r>
        <w:rPr>
          <w:rFonts w:hint="eastAsia"/>
          <w:sz w:val="32"/>
          <w:szCs w:val="32"/>
        </w:rPr>
        <w:t>推送信息</w:t>
      </w:r>
      <w:r>
        <w:rPr>
          <w:sz w:val="32"/>
          <w:szCs w:val="32"/>
        </w:rPr>
        <w:t>，在5个工作日内完成联合验收和市政公用设施接入工作。联合验收通过后，同步发放工程竣工验收备案文件和门牌号码。联合验收结果通过工建系统实时推送不动产登记机构。</w:t>
      </w:r>
    </w:p>
    <w:p>
      <w:pPr>
        <w:ind w:firstLine="640" w:firstLineChars="200"/>
        <w:rPr>
          <w:sz w:val="32"/>
          <w:szCs w:val="32"/>
        </w:rPr>
      </w:pPr>
      <w:r>
        <w:rPr>
          <w:sz w:val="32"/>
          <w:szCs w:val="32"/>
        </w:rPr>
        <w:t>十</w:t>
      </w:r>
      <w:r>
        <w:rPr>
          <w:rFonts w:hint="eastAsia"/>
          <w:sz w:val="32"/>
          <w:szCs w:val="32"/>
        </w:rPr>
        <w:t>七</w:t>
      </w:r>
      <w:r>
        <w:rPr>
          <w:sz w:val="32"/>
          <w:szCs w:val="32"/>
        </w:rPr>
        <w:t>、</w:t>
      </w:r>
      <w:r>
        <w:rPr>
          <w:rFonts w:hint="eastAsia"/>
          <w:sz w:val="32"/>
          <w:szCs w:val="32"/>
        </w:rPr>
        <w:t>仓库和厂房及其配套设施等生产性简易低风险建筑无需建设防空地下室和缴纳易地建设费</w:t>
      </w:r>
      <w:r>
        <w:rPr>
          <w:sz w:val="32"/>
          <w:szCs w:val="32"/>
        </w:rPr>
        <w:t>。</w:t>
      </w:r>
    </w:p>
    <w:p>
      <w:pPr>
        <w:ind w:firstLine="640" w:firstLineChars="200"/>
        <w:rPr>
          <w:sz w:val="32"/>
          <w:szCs w:val="32"/>
        </w:rPr>
      </w:pPr>
      <w:r>
        <w:rPr>
          <w:sz w:val="32"/>
          <w:szCs w:val="32"/>
        </w:rPr>
        <w:t>十</w:t>
      </w:r>
      <w:r>
        <w:rPr>
          <w:rFonts w:hint="eastAsia"/>
          <w:sz w:val="32"/>
          <w:szCs w:val="32"/>
        </w:rPr>
        <w:t>八</w:t>
      </w:r>
      <w:r>
        <w:rPr>
          <w:sz w:val="32"/>
          <w:szCs w:val="32"/>
        </w:rPr>
        <w:t>、强化参建单位内部风险管控，根据不同风险类别设立不同频次和等级的检查要求，质量安全监督机构基于工程风险实施差别化监管。针对简易低风险项目，质量安全监督机构在项目开工建设至主体结构封顶后、装饰装修施工前实行一次定期监督检查，重点检查参建单位开展质量安全风险技术检查的情况等，检查结果计入各参建单位和相关人员的信用信息档案。</w:t>
      </w:r>
    </w:p>
    <w:p>
      <w:pPr>
        <w:ind w:firstLine="640" w:firstLineChars="200"/>
        <w:rPr>
          <w:sz w:val="32"/>
          <w:szCs w:val="32"/>
        </w:rPr>
      </w:pPr>
      <w:r>
        <w:rPr>
          <w:sz w:val="32"/>
          <w:szCs w:val="32"/>
        </w:rPr>
        <w:t>十</w:t>
      </w:r>
      <w:r>
        <w:rPr>
          <w:rFonts w:hint="eastAsia"/>
          <w:sz w:val="32"/>
          <w:szCs w:val="32"/>
        </w:rPr>
        <w:t>九</w:t>
      </w:r>
      <w:r>
        <w:rPr>
          <w:sz w:val="32"/>
          <w:szCs w:val="32"/>
        </w:rPr>
        <w:t>、强化事中事后监管，对于实行告知承诺或容缺后补的事项，在规定时间内对申请人履行承诺情况进行检查，并建立健全检查和惩戒的事中事后监管机制。进一步落实建设单位主体责任，发现存在承诺不</w:t>
      </w:r>
      <w:r>
        <w:rPr>
          <w:rFonts w:hint="eastAsia" w:ascii="宋体" w:hAnsi="宋体" w:eastAsia="宋体" w:cs="宋体"/>
          <w:sz w:val="32"/>
          <w:szCs w:val="32"/>
        </w:rPr>
        <w:t>兑</w:t>
      </w:r>
      <w:r>
        <w:rPr>
          <w:rFonts w:hint="eastAsia" w:ascii="仿宋_GB2312" w:hAnsi="仿宋_GB2312" w:cs="仿宋_GB2312"/>
          <w:sz w:val="32"/>
          <w:szCs w:val="32"/>
        </w:rPr>
        <w:t>现或弄</w:t>
      </w:r>
      <w:r>
        <w:rPr>
          <w:sz w:val="32"/>
          <w:szCs w:val="32"/>
        </w:rPr>
        <w:t>虚作假等行为，</w:t>
      </w:r>
      <w:r>
        <w:rPr>
          <w:rFonts w:hint="eastAsia"/>
          <w:sz w:val="32"/>
          <w:szCs w:val="32"/>
        </w:rPr>
        <w:t>采</w:t>
      </w:r>
      <w:r>
        <w:rPr>
          <w:sz w:val="32"/>
          <w:szCs w:val="32"/>
        </w:rPr>
        <w:t>取整改、撤销许可或者禁止选择告知承诺或容缺后补等惩戒措施。</w:t>
      </w:r>
    </w:p>
    <w:p>
      <w:pPr>
        <w:ind w:firstLine="640" w:firstLineChars="200"/>
        <w:rPr>
          <w:rFonts w:ascii="仿宋_GB2312" w:cs="仿宋_GB2312"/>
          <w:sz w:val="32"/>
          <w:szCs w:val="32"/>
        </w:rPr>
      </w:pPr>
      <w:r>
        <w:rPr>
          <w:rFonts w:hint="eastAsia" w:ascii="仿宋_GB2312" w:cs="仿宋_GB2312"/>
          <w:sz w:val="32"/>
          <w:szCs w:val="32"/>
        </w:rPr>
        <w:t>二十、开展工程质量潜在缺陷责任保险试点工作，建设单位可通过购买工程质量潜在缺陷责任保险（或类似保险产品）的方式，防范和化解工程质量风险，保证工程质量，保障工程所有人权益。</w:t>
      </w:r>
    </w:p>
    <w:p>
      <w:pPr>
        <w:ind w:firstLine="640" w:firstLineChars="200"/>
        <w:rPr>
          <w:sz w:val="32"/>
          <w:szCs w:val="32"/>
        </w:rPr>
      </w:pPr>
      <w:r>
        <w:rPr>
          <w:sz w:val="32"/>
          <w:szCs w:val="32"/>
        </w:rPr>
        <w:t>二十</w:t>
      </w:r>
      <w:r>
        <w:rPr>
          <w:rFonts w:hint="eastAsia"/>
          <w:sz w:val="32"/>
          <w:szCs w:val="32"/>
        </w:rPr>
        <w:t>一</w:t>
      </w:r>
      <w:r>
        <w:rPr>
          <w:sz w:val="32"/>
          <w:szCs w:val="32"/>
        </w:rPr>
        <w:t>、本意见自印发之日起实施。</w:t>
      </w:r>
    </w:p>
    <w:sectPr>
      <w:pgSz w:w="11906" w:h="16838"/>
      <w:pgMar w:top="11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_GB2312+ZMJCDb-2">
    <w:altName w:val="方正仿宋_GBK"/>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5633"/>
    <w:rsid w:val="00004D6A"/>
    <w:rsid w:val="0001067D"/>
    <w:rsid w:val="00016576"/>
    <w:rsid w:val="00027192"/>
    <w:rsid w:val="0003188C"/>
    <w:rsid w:val="000321A3"/>
    <w:rsid w:val="00055980"/>
    <w:rsid w:val="0007776D"/>
    <w:rsid w:val="00082022"/>
    <w:rsid w:val="00082CAD"/>
    <w:rsid w:val="000A3E07"/>
    <w:rsid w:val="000E6EAF"/>
    <w:rsid w:val="000F50B9"/>
    <w:rsid w:val="00104191"/>
    <w:rsid w:val="001052C2"/>
    <w:rsid w:val="001105AE"/>
    <w:rsid w:val="00120204"/>
    <w:rsid w:val="00125A7A"/>
    <w:rsid w:val="00127C74"/>
    <w:rsid w:val="00131B28"/>
    <w:rsid w:val="0016517A"/>
    <w:rsid w:val="00173F83"/>
    <w:rsid w:val="00175623"/>
    <w:rsid w:val="00187329"/>
    <w:rsid w:val="00190644"/>
    <w:rsid w:val="00191044"/>
    <w:rsid w:val="00194F04"/>
    <w:rsid w:val="00196090"/>
    <w:rsid w:val="001A76FC"/>
    <w:rsid w:val="001B78BF"/>
    <w:rsid w:val="001C4EA2"/>
    <w:rsid w:val="001C539B"/>
    <w:rsid w:val="001F771F"/>
    <w:rsid w:val="002106CF"/>
    <w:rsid w:val="0021562D"/>
    <w:rsid w:val="00216BD5"/>
    <w:rsid w:val="00220F27"/>
    <w:rsid w:val="00235FE5"/>
    <w:rsid w:val="00236C1B"/>
    <w:rsid w:val="002471E1"/>
    <w:rsid w:val="00255DA3"/>
    <w:rsid w:val="00261ECA"/>
    <w:rsid w:val="002642A2"/>
    <w:rsid w:val="00272243"/>
    <w:rsid w:val="00274F46"/>
    <w:rsid w:val="002808A3"/>
    <w:rsid w:val="00291331"/>
    <w:rsid w:val="002A37EF"/>
    <w:rsid w:val="002B0E00"/>
    <w:rsid w:val="002B5FE2"/>
    <w:rsid w:val="002C1B82"/>
    <w:rsid w:val="002C4C1E"/>
    <w:rsid w:val="00303148"/>
    <w:rsid w:val="00305565"/>
    <w:rsid w:val="003067FB"/>
    <w:rsid w:val="00312746"/>
    <w:rsid w:val="003165DF"/>
    <w:rsid w:val="003202E1"/>
    <w:rsid w:val="0032491A"/>
    <w:rsid w:val="00346556"/>
    <w:rsid w:val="003816F6"/>
    <w:rsid w:val="00386FD7"/>
    <w:rsid w:val="00390598"/>
    <w:rsid w:val="0039354B"/>
    <w:rsid w:val="003936EB"/>
    <w:rsid w:val="00394380"/>
    <w:rsid w:val="00395338"/>
    <w:rsid w:val="003B0D07"/>
    <w:rsid w:val="003B1F19"/>
    <w:rsid w:val="003C6C2A"/>
    <w:rsid w:val="003D2B1C"/>
    <w:rsid w:val="003F4E02"/>
    <w:rsid w:val="003F6B75"/>
    <w:rsid w:val="0043249B"/>
    <w:rsid w:val="00444A4D"/>
    <w:rsid w:val="0045737C"/>
    <w:rsid w:val="0048650D"/>
    <w:rsid w:val="004C02BA"/>
    <w:rsid w:val="004C1AD4"/>
    <w:rsid w:val="004D17CA"/>
    <w:rsid w:val="004D3803"/>
    <w:rsid w:val="004F7C4C"/>
    <w:rsid w:val="00502E7F"/>
    <w:rsid w:val="0050422D"/>
    <w:rsid w:val="00514E87"/>
    <w:rsid w:val="00515499"/>
    <w:rsid w:val="00515D83"/>
    <w:rsid w:val="005476C4"/>
    <w:rsid w:val="00555508"/>
    <w:rsid w:val="00585265"/>
    <w:rsid w:val="00592485"/>
    <w:rsid w:val="005B1642"/>
    <w:rsid w:val="005B17AA"/>
    <w:rsid w:val="005B2890"/>
    <w:rsid w:val="005B3665"/>
    <w:rsid w:val="005B5898"/>
    <w:rsid w:val="005C3A98"/>
    <w:rsid w:val="005D32C4"/>
    <w:rsid w:val="005D7AF3"/>
    <w:rsid w:val="005E1106"/>
    <w:rsid w:val="005F4328"/>
    <w:rsid w:val="006032E8"/>
    <w:rsid w:val="00607DAB"/>
    <w:rsid w:val="0061066B"/>
    <w:rsid w:val="006113DA"/>
    <w:rsid w:val="00620ECB"/>
    <w:rsid w:val="00636126"/>
    <w:rsid w:val="006363ED"/>
    <w:rsid w:val="00636E54"/>
    <w:rsid w:val="006541E4"/>
    <w:rsid w:val="00660317"/>
    <w:rsid w:val="006608AC"/>
    <w:rsid w:val="006715C4"/>
    <w:rsid w:val="0067322F"/>
    <w:rsid w:val="00691394"/>
    <w:rsid w:val="006B3BC3"/>
    <w:rsid w:val="006C0088"/>
    <w:rsid w:val="006C0CF9"/>
    <w:rsid w:val="006D2B2F"/>
    <w:rsid w:val="006E2A9D"/>
    <w:rsid w:val="006E43BF"/>
    <w:rsid w:val="006F045C"/>
    <w:rsid w:val="007006C3"/>
    <w:rsid w:val="00700D32"/>
    <w:rsid w:val="0070491B"/>
    <w:rsid w:val="00720183"/>
    <w:rsid w:val="0072678E"/>
    <w:rsid w:val="00742389"/>
    <w:rsid w:val="00744592"/>
    <w:rsid w:val="00753B00"/>
    <w:rsid w:val="0076462B"/>
    <w:rsid w:val="00770086"/>
    <w:rsid w:val="00770876"/>
    <w:rsid w:val="0077515A"/>
    <w:rsid w:val="00786EAA"/>
    <w:rsid w:val="007A4CA5"/>
    <w:rsid w:val="007B7338"/>
    <w:rsid w:val="007D5E2B"/>
    <w:rsid w:val="007E6140"/>
    <w:rsid w:val="007F1538"/>
    <w:rsid w:val="007F2FAA"/>
    <w:rsid w:val="00814855"/>
    <w:rsid w:val="00833BD7"/>
    <w:rsid w:val="00835B74"/>
    <w:rsid w:val="00850645"/>
    <w:rsid w:val="00854E19"/>
    <w:rsid w:val="00856DB4"/>
    <w:rsid w:val="0086180E"/>
    <w:rsid w:val="00867AD7"/>
    <w:rsid w:val="00880146"/>
    <w:rsid w:val="00887C7E"/>
    <w:rsid w:val="00894E32"/>
    <w:rsid w:val="008A1372"/>
    <w:rsid w:val="008A2AA7"/>
    <w:rsid w:val="008B1143"/>
    <w:rsid w:val="008C7B50"/>
    <w:rsid w:val="008E198B"/>
    <w:rsid w:val="009027F9"/>
    <w:rsid w:val="00911BEA"/>
    <w:rsid w:val="0091566A"/>
    <w:rsid w:val="0092798B"/>
    <w:rsid w:val="00933D24"/>
    <w:rsid w:val="009424C3"/>
    <w:rsid w:val="009462F8"/>
    <w:rsid w:val="00964776"/>
    <w:rsid w:val="009652B7"/>
    <w:rsid w:val="00975F86"/>
    <w:rsid w:val="00993645"/>
    <w:rsid w:val="0099484E"/>
    <w:rsid w:val="0099784F"/>
    <w:rsid w:val="009D284C"/>
    <w:rsid w:val="009D6F26"/>
    <w:rsid w:val="009D77B4"/>
    <w:rsid w:val="009E6D39"/>
    <w:rsid w:val="009F2032"/>
    <w:rsid w:val="00A1067B"/>
    <w:rsid w:val="00A20BBC"/>
    <w:rsid w:val="00A27ACF"/>
    <w:rsid w:val="00A37B12"/>
    <w:rsid w:val="00A42B58"/>
    <w:rsid w:val="00A448BA"/>
    <w:rsid w:val="00A559B5"/>
    <w:rsid w:val="00A67D8D"/>
    <w:rsid w:val="00A714E8"/>
    <w:rsid w:val="00A7405E"/>
    <w:rsid w:val="00A86057"/>
    <w:rsid w:val="00A90306"/>
    <w:rsid w:val="00A907EF"/>
    <w:rsid w:val="00A90F95"/>
    <w:rsid w:val="00A934F1"/>
    <w:rsid w:val="00AA32F8"/>
    <w:rsid w:val="00AB18C1"/>
    <w:rsid w:val="00AC52A0"/>
    <w:rsid w:val="00AE63DF"/>
    <w:rsid w:val="00AF1972"/>
    <w:rsid w:val="00AF2545"/>
    <w:rsid w:val="00B03119"/>
    <w:rsid w:val="00B12128"/>
    <w:rsid w:val="00B14D90"/>
    <w:rsid w:val="00B21BC3"/>
    <w:rsid w:val="00B22A6C"/>
    <w:rsid w:val="00B45633"/>
    <w:rsid w:val="00B80F6D"/>
    <w:rsid w:val="00B87BD9"/>
    <w:rsid w:val="00BA115F"/>
    <w:rsid w:val="00BA139F"/>
    <w:rsid w:val="00BB097E"/>
    <w:rsid w:val="00BB653A"/>
    <w:rsid w:val="00BC6B49"/>
    <w:rsid w:val="00BD3DD8"/>
    <w:rsid w:val="00BF6175"/>
    <w:rsid w:val="00C06B0A"/>
    <w:rsid w:val="00C129BE"/>
    <w:rsid w:val="00C1500B"/>
    <w:rsid w:val="00C22591"/>
    <w:rsid w:val="00C24898"/>
    <w:rsid w:val="00C25F83"/>
    <w:rsid w:val="00C31D0F"/>
    <w:rsid w:val="00C34FB9"/>
    <w:rsid w:val="00C42A6F"/>
    <w:rsid w:val="00C516CF"/>
    <w:rsid w:val="00C72609"/>
    <w:rsid w:val="00C76957"/>
    <w:rsid w:val="00CA3DA9"/>
    <w:rsid w:val="00CB6D05"/>
    <w:rsid w:val="00CC69F1"/>
    <w:rsid w:val="00CD22B8"/>
    <w:rsid w:val="00CE5789"/>
    <w:rsid w:val="00CF547A"/>
    <w:rsid w:val="00D05D0A"/>
    <w:rsid w:val="00D06CF2"/>
    <w:rsid w:val="00D4327F"/>
    <w:rsid w:val="00D463AB"/>
    <w:rsid w:val="00D549EA"/>
    <w:rsid w:val="00DA2258"/>
    <w:rsid w:val="00DA3083"/>
    <w:rsid w:val="00DA7BDA"/>
    <w:rsid w:val="00DB74E8"/>
    <w:rsid w:val="00DC6437"/>
    <w:rsid w:val="00DD1FAC"/>
    <w:rsid w:val="00DD7871"/>
    <w:rsid w:val="00E004FF"/>
    <w:rsid w:val="00E22460"/>
    <w:rsid w:val="00E23252"/>
    <w:rsid w:val="00E37238"/>
    <w:rsid w:val="00E45DA9"/>
    <w:rsid w:val="00E5514D"/>
    <w:rsid w:val="00E60468"/>
    <w:rsid w:val="00E636AE"/>
    <w:rsid w:val="00E73E74"/>
    <w:rsid w:val="00E82614"/>
    <w:rsid w:val="00E87ECC"/>
    <w:rsid w:val="00E90126"/>
    <w:rsid w:val="00E93FE0"/>
    <w:rsid w:val="00E95B84"/>
    <w:rsid w:val="00E9654B"/>
    <w:rsid w:val="00EA04E9"/>
    <w:rsid w:val="00EA11A2"/>
    <w:rsid w:val="00EB494C"/>
    <w:rsid w:val="00ED2448"/>
    <w:rsid w:val="00ED42A0"/>
    <w:rsid w:val="00F02DB9"/>
    <w:rsid w:val="00F03247"/>
    <w:rsid w:val="00F371D3"/>
    <w:rsid w:val="00F37C4B"/>
    <w:rsid w:val="00F44DBB"/>
    <w:rsid w:val="00F52CCA"/>
    <w:rsid w:val="00F60041"/>
    <w:rsid w:val="00F62CA2"/>
    <w:rsid w:val="00F66341"/>
    <w:rsid w:val="00F72FA6"/>
    <w:rsid w:val="00F855A8"/>
    <w:rsid w:val="00FD5C63"/>
    <w:rsid w:val="00FD785C"/>
    <w:rsid w:val="00FF0796"/>
    <w:rsid w:val="3FFAA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31"/>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eastAsia="仿宋_GB2312"/>
      <w:b/>
      <w:bCs/>
      <w:kern w:val="44"/>
      <w:sz w:val="44"/>
      <w:szCs w:val="44"/>
    </w:rPr>
  </w:style>
  <w:style w:type="paragraph" w:styleId="9">
    <w:name w:val="List Paragraph"/>
    <w:basedOn w:val="1"/>
    <w:qFormat/>
    <w:uiPriority w:val="34"/>
    <w:pPr>
      <w:ind w:firstLine="420" w:firstLineChars="200"/>
    </w:pPr>
    <w:rPr>
      <w:rFonts w:ascii="Calibri" w:hAnsi="Calibri" w:eastAsia="宋体"/>
      <w:sz w:val="21"/>
      <w:szCs w:val="22"/>
    </w:rPr>
  </w:style>
  <w:style w:type="character" w:customStyle="1" w:styleId="10">
    <w:name w:val="标题 #1_"/>
    <w:basedOn w:val="7"/>
    <w:link w:val="11"/>
    <w:qFormat/>
    <w:uiPriority w:val="0"/>
    <w:rPr>
      <w:rFonts w:ascii="宋体" w:hAnsi="宋体" w:eastAsia="宋体" w:cs="宋体"/>
      <w:sz w:val="42"/>
      <w:szCs w:val="42"/>
      <w:lang w:val="zh-CN" w:bidi="zh-CN"/>
    </w:rPr>
  </w:style>
  <w:style w:type="paragraph" w:customStyle="1" w:styleId="11">
    <w:name w:val="标题 #1"/>
    <w:basedOn w:val="1"/>
    <w:link w:val="10"/>
    <w:qFormat/>
    <w:uiPriority w:val="0"/>
    <w:pPr>
      <w:spacing w:after="760" w:line="558" w:lineRule="exact"/>
      <w:ind w:left="690"/>
      <w:jc w:val="center"/>
      <w:outlineLvl w:val="0"/>
    </w:pPr>
    <w:rPr>
      <w:rFonts w:ascii="宋体" w:hAnsi="宋体" w:eastAsia="宋体" w:cs="宋体"/>
      <w:kern w:val="0"/>
      <w:sz w:val="42"/>
      <w:szCs w:val="42"/>
      <w:lang w:val="zh-CN" w:bidi="zh-CN"/>
    </w:rPr>
  </w:style>
  <w:style w:type="character" w:customStyle="1" w:styleId="12">
    <w:name w:val="正文文本_"/>
    <w:basedOn w:val="7"/>
    <w:link w:val="13"/>
    <w:qFormat/>
    <w:uiPriority w:val="0"/>
    <w:rPr>
      <w:rFonts w:ascii="宋体" w:hAnsi="宋体" w:eastAsia="宋体" w:cs="宋体"/>
      <w:sz w:val="28"/>
      <w:szCs w:val="28"/>
      <w:lang w:val="zh-CN" w:bidi="zh-CN"/>
    </w:rPr>
  </w:style>
  <w:style w:type="paragraph" w:customStyle="1" w:styleId="13">
    <w:name w:val="正文文本1"/>
    <w:basedOn w:val="1"/>
    <w:link w:val="12"/>
    <w:qFormat/>
    <w:uiPriority w:val="0"/>
    <w:pPr>
      <w:spacing w:line="420" w:lineRule="auto"/>
      <w:ind w:firstLine="400"/>
      <w:jc w:val="left"/>
    </w:pPr>
    <w:rPr>
      <w:rFonts w:ascii="宋体" w:hAnsi="宋体" w:eastAsia="宋体" w:cs="宋体"/>
      <w:kern w:val="0"/>
      <w:sz w:val="28"/>
      <w:szCs w:val="28"/>
      <w:lang w:val="zh-CN" w:bidi="zh-CN"/>
    </w:rPr>
  </w:style>
  <w:style w:type="character" w:customStyle="1" w:styleId="14">
    <w:name w:val="页眉 Char"/>
    <w:basedOn w:val="7"/>
    <w:link w:val="5"/>
    <w:semiHidden/>
    <w:qFormat/>
    <w:uiPriority w:val="99"/>
    <w:rPr>
      <w:rFonts w:eastAsia="仿宋_GB2312"/>
      <w:kern w:val="2"/>
      <w:sz w:val="18"/>
      <w:szCs w:val="18"/>
    </w:rPr>
  </w:style>
  <w:style w:type="character" w:customStyle="1" w:styleId="15">
    <w:name w:val="页脚 Char"/>
    <w:basedOn w:val="7"/>
    <w:link w:val="4"/>
    <w:semiHidden/>
    <w:qFormat/>
    <w:uiPriority w:val="99"/>
    <w:rPr>
      <w:rFonts w:eastAsia="仿宋_GB2312"/>
      <w:kern w:val="2"/>
      <w:sz w:val="18"/>
      <w:szCs w:val="18"/>
    </w:rPr>
  </w:style>
  <w:style w:type="character" w:customStyle="1" w:styleId="16">
    <w:name w:val="fontstyle01"/>
    <w:basedOn w:val="7"/>
    <w:qFormat/>
    <w:uiPriority w:val="0"/>
    <w:rPr>
      <w:rFonts w:hint="eastAsia" w:ascii="仿宋_GB2312" w:eastAsia="仿宋_GB2312"/>
      <w:color w:val="000000"/>
      <w:sz w:val="32"/>
      <w:szCs w:val="32"/>
    </w:rPr>
  </w:style>
  <w:style w:type="character" w:customStyle="1" w:styleId="17">
    <w:name w:val="fontstyle11"/>
    <w:basedOn w:val="7"/>
    <w:qFormat/>
    <w:uiPriority w:val="0"/>
    <w:rPr>
      <w:rFonts w:hint="eastAsia" w:ascii="仿宋_GB2312+ZMJCDb-2" w:eastAsia="仿宋_GB2312+ZMJCDb-2"/>
      <w:color w:val="000000"/>
      <w:sz w:val="32"/>
      <w:szCs w:val="32"/>
    </w:rPr>
  </w:style>
  <w:style w:type="character" w:customStyle="1" w:styleId="18">
    <w:name w:val="批注框文本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469</Words>
  <Characters>2678</Characters>
  <Lines>22</Lines>
  <Paragraphs>6</Paragraphs>
  <TotalTime>21</TotalTime>
  <ScaleCrop>false</ScaleCrop>
  <LinksUpToDate>false</LinksUpToDate>
  <CharactersWithSpaces>3141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2021-12-22T17:44:00Z</dcterms:created>
  <dc:creator>zhwt</dc:creator>
  <cp:lastModifiedBy>uos</cp:lastModifiedBy>
  <cp:lastPrinted>2021-12-23T09:02:09Z</cp:lastPrinted>
  <dcterms:modified xsi:type="dcterms:W3CDTF">2021-12-23T09:03:00Z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