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Helvetica" w:hAnsi="Helvetica" w:eastAsia="Helvetica" w:cs="Helvetica"/>
          <w:i w:val="0"/>
          <w:iCs w:val="0"/>
          <w:caps w:val="0"/>
          <w:color w:val="auto"/>
          <w:spacing w:val="0"/>
          <w:sz w:val="45"/>
          <w:szCs w:val="45"/>
          <w:shd w:val="clear" w:fill="FFFFFF"/>
        </w:rPr>
      </w:pPr>
      <w:r>
        <w:rPr>
          <w:rFonts w:ascii="Helvetica" w:hAnsi="Helvetica" w:eastAsia="Helvetica" w:cs="Helvetica"/>
          <w:i w:val="0"/>
          <w:iCs w:val="0"/>
          <w:caps w:val="0"/>
          <w:color w:val="auto"/>
          <w:spacing w:val="0"/>
          <w:sz w:val="45"/>
          <w:szCs w:val="45"/>
          <w:shd w:val="clear" w:fill="FFFFFF"/>
        </w:rPr>
        <w:t>关于珠海市香洲区问题河涌（含黑臭水体）管养提升项目—沙心涌污水管应急整治工程劳务分包计价争议的复函</w:t>
      </w:r>
    </w:p>
    <w:p>
      <w:pPr>
        <w:keepNext w:val="0"/>
        <w:keepLines w:val="0"/>
        <w:widowControl/>
        <w:suppressLineNumbers w:val="0"/>
        <w:jc w:val="center"/>
      </w:pPr>
      <w:r>
        <w:rPr>
          <w:rFonts w:ascii="微软雅黑" w:hAnsi="微软雅黑" w:eastAsia="微软雅黑" w:cs="微软雅黑"/>
          <w:kern w:val="0"/>
          <w:sz w:val="22"/>
          <w:szCs w:val="22"/>
          <w:bdr w:val="none" w:color="auto" w:sz="0" w:space="0"/>
          <w:lang w:val="en-US" w:eastAsia="zh-CN" w:bidi="ar"/>
        </w:rPr>
        <w:t>粤标定复函〔2021〕13号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0"/>
        <w:jc w:val="both"/>
        <w:rPr>
          <w:rFonts w:hint="eastAsia" w:ascii="微软雅黑" w:hAnsi="微软雅黑" w:eastAsia="微软雅黑" w:cs="微软雅黑"/>
          <w:color w:val="333333"/>
          <w:spacing w:val="8"/>
          <w:sz w:val="24"/>
          <w:szCs w:val="24"/>
          <w:bdr w:val="none" w:color="auto" w:sz="0" w:space="0"/>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珠海正圆市政建设有限公司、中国水利水电第四工程局有限公司：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你们6月11日通过广东省建设工程造价纠纷处理系统，申请解决关于珠海市香洲区问题河涌（含黑臭水体）管养提升项目---沙心涌污水管应急整治工程劳务分包计价争议的来函及相关资料收悉。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根据2019年7月12日签订的劳务分包合同显示，本项目地点位于珠海市香洲区。发包人珠海正圆市政建设有限公司通过公开招标的方式，确定中国水利水电第四工程局有限公司为劳务承包人，项目资金来源为财政资金。合同约定采用工程量清单计价，清单综合单价由定额组价确定，执行《建设工程工程量清单计价规范》GB50500-2013、《广东省市政工程综合定额（2018）》等现行计价依据，项目正处于竣工结算阶段。依据所上传的项目资料，现对来函涉及的争议事项答复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本工程施工区域位于前山河流入海口附近，且绝大部分的施工项目分布于沿岸的河道内，受潮汐影响，施工只能选择在退潮期间进行，同时受场地的制约，材料加工及堆放场地的布置远离施工工作面，施工用材料(包括甲供材料)需从材料仓库通过人工手推车及PC200普通挖机运输至码头，再由人工配合PC200普通挖机装上运输船运至施工工作面，平均运距约为2.1km，承包人在水上再通过操作运输船及水上施工机械进行施工。鉴于以上情况，发承包双方在确定清单综合单价时，产生以下计价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Style w:val="5"/>
          <w:rFonts w:hint="eastAsia" w:ascii="微软雅黑" w:hAnsi="微软雅黑" w:eastAsia="微软雅黑" w:cs="微软雅黑"/>
          <w:b/>
          <w:bCs/>
          <w:color w:val="333333"/>
          <w:spacing w:val="8"/>
          <w:sz w:val="24"/>
          <w:szCs w:val="24"/>
          <w:bdr w:val="none" w:color="auto" w:sz="0" w:space="0"/>
          <w:shd w:val="clear" w:fill="FFFFFF"/>
        </w:rPr>
        <w:t>一、关于材料二次运输的计价争议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本项目材料从仓库至施工作业面运输费用的计价，发承包双方产生争议。发包人认为，应按《广东省市政工程综合定额（2018）》的材料二次运输计价。承包人同意发包人意见，但认为材料二次运输子目中的机械组成与实际施工配置使用的材料运输船及PC普通挖机不一致，故在套用二次运输定额子目时，应根据施工实际配置的使用机械添加材料运输船及PC普通挖机的机械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我站认为，工程上使用的材料因施工环境和场地限制，不能直接运到现场（不能直接原车运送到施工组织设计要求范围内的堆放地点），必须再次运输所发生的装运卸工作，才能计算材料二次运输费用，本项目争议的是从材料仓库货堆放点到施工点的运输，属于场内运输，因此，材料二次运输子目不适用。另外，除定额另有说明外，是综合考虑了在陆上材料自施工单位现场仓库或现场指定地点运至安装地点的水平和垂直运输，但鉴于本工程施工用材料(包括甲供材料)需从材料仓库经陆路运输至码头后，再通过水上运输至施工工作面，平均运距约2.1km，已超出了定额编制时设定的正常施工条件及合理考虑范围，因此，对该材料水平和垂直运输所增加的费用，建议发承包双方依据市场价格水平，公平合理地协商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Style w:val="5"/>
          <w:rFonts w:hint="eastAsia" w:ascii="微软雅黑" w:hAnsi="微软雅黑" w:eastAsia="微软雅黑" w:cs="微软雅黑"/>
          <w:b/>
          <w:bCs/>
          <w:color w:val="333333"/>
          <w:spacing w:val="8"/>
          <w:sz w:val="24"/>
          <w:szCs w:val="24"/>
          <w:bdr w:val="none" w:color="auto" w:sz="0" w:space="0"/>
          <w:shd w:val="clear" w:fill="FFFFFF"/>
        </w:rPr>
        <w:t>二、关于原管拆除、管道安装、检查井安装项目的计价争议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本项目由于施工环境限制，发承包双方就原管拆除、管道安装、检查井安装项目计价产生争议。承包人认为,施工过程实际需配置小型水上作业艇及PC220挖机（带浮箱）完成施工作业，定额组价所套用的《广东省市政工程综合定额（2018）》相应子目中的机械组成与实际施工配置使用的机械不一致，故在套用相应定额子目，应根据施工实际配置的使用机械添加小型水上作业艇及PC220挖机（带浮箱）的机械费用到定额子目的工料机内。发包人认为,施工机具的添加，无相关依据，建议增加机械台班租赁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我站认为，《广东省市政工程综合定额（2018）》中原管拆除、管道安装、检查井安装的定额子目，是综合考虑陆上正常的施工条件所编制的，不适用于水上施工条件，故定额子目不适用。建议发承包双方根据合同第5.1.2条款劳务费用计费原则第（1）点“……当上述定额子目有缺项则参考相关定额消耗量编制补充定额子目”及第（4）点工程量计算规则“根据经审批通过的实施图纸（方案）按《建设工程工程量清单计价规范》GB50500-2013规定计算”的约定，依据经审批通过的实施图纸（方案），通过现场实际测算与市场询价的方式确定人工、材料、机械的消耗量及其他相关费用，结合市场价格水平编制补充定额子目计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Style w:val="5"/>
          <w:rFonts w:hint="eastAsia" w:ascii="微软雅黑" w:hAnsi="微软雅黑" w:eastAsia="微软雅黑" w:cs="微软雅黑"/>
          <w:b/>
          <w:bCs/>
          <w:color w:val="333333"/>
          <w:spacing w:val="8"/>
          <w:sz w:val="24"/>
          <w:szCs w:val="24"/>
          <w:bdr w:val="none" w:color="auto" w:sz="0" w:space="0"/>
          <w:shd w:val="clear" w:fill="FFFFFF"/>
        </w:rPr>
        <w:t>三、关于人工费调整的争议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rPr>
          <w:rFonts w:hint="eastAsia" w:ascii="微软雅黑" w:hAnsi="微软雅黑" w:eastAsia="微软雅黑" w:cs="微软雅黑"/>
          <w:color w:val="333333"/>
          <w:spacing w:val="8"/>
          <w:sz w:val="25"/>
          <w:szCs w:val="25"/>
        </w:rPr>
      </w:pPr>
      <w:r>
        <w:rPr>
          <w:rFonts w:hint="eastAsia" w:ascii="微软雅黑" w:hAnsi="微软雅黑" w:eastAsia="微软雅黑" w:cs="微软雅黑"/>
          <w:color w:val="333333"/>
          <w:spacing w:val="8"/>
          <w:sz w:val="24"/>
          <w:szCs w:val="24"/>
          <w:bdr w:val="none" w:color="auto" w:sz="0" w:space="0"/>
          <w:shd w:val="clear" w:fill="FFFFFF"/>
        </w:rPr>
        <w:t>本项目受潮汐影响，施工只能选择在退潮期间进行，发承包双方就是否调整人工费产生争议。承包方认为，本工程施工区域河道水面随潮汐涨幅较大，在涨潮期间水面高于设计管道标高，设计管道完全被淹没于水面以下，无法施工，只能在退潮期间才可正常施工，在水面施工，人员效率较低，为满足施工进度要求，人员需按正常情况的1.5倍配置，人工应在正常消耗量上乘以1.5的系数。发包方认为，本项目人工费系数调整没有调整依据，不同意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both"/>
      </w:pPr>
      <w:r>
        <w:rPr>
          <w:rFonts w:hint="eastAsia" w:ascii="微软雅黑" w:hAnsi="微软雅黑" w:eastAsia="微软雅黑" w:cs="微软雅黑"/>
          <w:color w:val="333333"/>
          <w:spacing w:val="8"/>
          <w:sz w:val="24"/>
          <w:szCs w:val="24"/>
          <w:bdr w:val="none" w:color="auto" w:sz="0" w:space="0"/>
          <w:shd w:val="clear" w:fill="FFFFFF"/>
        </w:rPr>
        <w:t>我站认为，本项目施工只能选择在退潮期间进行，与定额编制时考虑的工效存在差异，建议双方根据合同第5.1.2条款劳务费用计费原则，对受潮汐影响的施工项目，执行相应定额时，结合影响程度、采取的应急措施、风险承担范围、损失大小及损失占承包合同标的额的比例等因素，确定包含人工在内的降效费用。</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both"/>
      </w:pPr>
      <w:r>
        <w:rPr>
          <w:rFonts w:hint="eastAsia" w:ascii="微软雅黑" w:hAnsi="微软雅黑" w:eastAsia="微软雅黑" w:cs="微软雅黑"/>
          <w:sz w:val="24"/>
          <w:szCs w:val="24"/>
          <w:bdr w:val="none" w:color="auto" w:sz="0" w:space="0"/>
        </w:rPr>
        <w:t>专此函复。</w:t>
      </w:r>
    </w:p>
    <w:p>
      <w:pPr>
        <w:keepNext w:val="0"/>
        <w:keepLines w:val="0"/>
        <w:widowControl/>
        <w:suppressLineNumbers w:val="0"/>
        <w:jc w:val="right"/>
        <w:rPr>
          <w:rFonts w:hint="eastAsia" w:ascii="微软雅黑" w:hAnsi="微软雅黑" w:eastAsia="微软雅黑" w:cs="微软雅黑"/>
          <w:kern w:val="0"/>
          <w:sz w:val="24"/>
          <w:szCs w:val="24"/>
          <w:bdr w:val="none" w:color="auto" w:sz="0" w:space="0"/>
          <w:lang w:val="en-US" w:eastAsia="zh-CN" w:bidi="ar"/>
        </w:rPr>
      </w:pPr>
      <w:r>
        <w:rPr>
          <w:rFonts w:ascii="宋体" w:hAnsi="宋体" w:eastAsia="宋体" w:cs="宋体"/>
          <w:kern w:val="0"/>
          <w:sz w:val="24"/>
          <w:szCs w:val="24"/>
          <w:lang w:val="en-US" w:eastAsia="zh-CN" w:bidi="ar"/>
        </w:rPr>
        <w:br w:type="textWrapping"/>
      </w:r>
      <w:r>
        <w:rPr>
          <w:rFonts w:hint="eastAsia" w:ascii="微软雅黑" w:hAnsi="微软雅黑" w:eastAsia="微软雅黑" w:cs="微软雅黑"/>
          <w:kern w:val="0"/>
          <w:sz w:val="24"/>
          <w:szCs w:val="24"/>
          <w:bdr w:val="none" w:color="auto" w:sz="0" w:space="0"/>
          <w:lang w:val="en-US" w:eastAsia="zh-CN" w:bidi="ar"/>
        </w:rPr>
        <w:t>广东省建设工程标准定额站</w:t>
      </w:r>
    </w:p>
    <w:p>
      <w:pPr>
        <w:keepNext w:val="0"/>
        <w:keepLines w:val="0"/>
        <w:widowControl/>
        <w:suppressLineNumbers w:val="0"/>
        <w:jc w:val="right"/>
      </w:pPr>
      <w:r>
        <w:rPr>
          <w:rFonts w:hint="eastAsia" w:ascii="微软雅黑" w:hAnsi="微软雅黑" w:eastAsia="微软雅黑" w:cs="微软雅黑"/>
          <w:kern w:val="0"/>
          <w:sz w:val="24"/>
          <w:szCs w:val="24"/>
          <w:bdr w:val="none" w:color="auto" w:sz="0" w:space="0"/>
          <w:lang w:val="en-US" w:eastAsia="zh-CN" w:bidi="ar"/>
        </w:rPr>
        <w:t>2021年9月22日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rPr>
          <w:rFonts w:ascii="Helvetica" w:hAnsi="Helvetica" w:eastAsia="Helvetica" w:cs="Helvetica"/>
          <w:i w:val="0"/>
          <w:iCs w:val="0"/>
          <w:caps w:val="0"/>
          <w:color w:val="004F8A"/>
          <w:spacing w:val="0"/>
          <w:sz w:val="45"/>
          <w:szCs w:val="45"/>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4B2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2021-10-27T02:52:52Z</dcterms:created>
  <dc:creator>lenovo</dc:creator>
  <cp:lastModifiedBy>lenovo</cp:lastModifiedBy>
  <dcterms:modified xsi:type="dcterms:W3CDTF">2021-10-27T02:55:12Z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