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附件2</w:t>
      </w:r>
    </w:p>
    <w:p w:rsidR="00235025" w:rsidRDefault="00235025" w:rsidP="00235025">
      <w:pPr>
        <w:pStyle w:val="1"/>
        <w:widowControl/>
        <w:spacing w:line="560" w:lineRule="exact"/>
        <w:jc w:val="center"/>
        <w:rPr>
          <w:rStyle w:val="a5"/>
          <w:rFonts w:ascii="小标宋" w:eastAsia="小标宋" w:hAnsi="小标宋" w:cs="小标宋"/>
          <w:b w:val="0"/>
          <w:color w:val="000000"/>
          <w:sz w:val="44"/>
          <w:szCs w:val="44"/>
        </w:rPr>
      </w:pPr>
      <w:r>
        <w:rPr>
          <w:rStyle w:val="a5"/>
          <w:rFonts w:ascii="小标宋" w:eastAsia="小标宋" w:hAnsi="小标宋" w:cs="小标宋" w:hint="eastAsia"/>
          <w:b w:val="0"/>
          <w:color w:val="000000"/>
          <w:sz w:val="44"/>
          <w:szCs w:val="44"/>
        </w:rPr>
        <w:t>超过一定规模的危险性较大的分部</w:t>
      </w:r>
    </w:p>
    <w:p w:rsidR="00235025" w:rsidRDefault="00235025" w:rsidP="00235025">
      <w:pPr>
        <w:pStyle w:val="1"/>
        <w:widowControl/>
        <w:spacing w:line="560" w:lineRule="exact"/>
        <w:jc w:val="center"/>
        <w:rPr>
          <w:rFonts w:ascii="小标宋" w:eastAsia="小标宋" w:hAnsi="小标宋" w:cs="小标宋"/>
          <w:sz w:val="44"/>
          <w:szCs w:val="44"/>
        </w:rPr>
      </w:pPr>
      <w:r>
        <w:rPr>
          <w:rStyle w:val="a5"/>
          <w:rFonts w:ascii="小标宋" w:eastAsia="小标宋" w:hAnsi="小标宋" w:cs="小标宋" w:hint="eastAsia"/>
          <w:b w:val="0"/>
          <w:color w:val="000000"/>
          <w:sz w:val="44"/>
          <w:szCs w:val="44"/>
        </w:rPr>
        <w:t>分项工程范围</w:t>
      </w:r>
    </w:p>
    <w:p w:rsidR="00235025" w:rsidRDefault="00235025" w:rsidP="00235025">
      <w:pPr>
        <w:pStyle w:val="1"/>
        <w:widowControl/>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 xml:space="preserve">　　</w:t>
      </w:r>
    </w:p>
    <w:p w:rsidR="00235025" w:rsidRDefault="00235025" w:rsidP="00235025">
      <w:pPr>
        <w:pStyle w:val="1"/>
        <w:widowControl/>
        <w:spacing w:line="56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一、深基坑工程</w:t>
      </w:r>
    </w:p>
    <w:p w:rsidR="00235025" w:rsidRDefault="00235025" w:rsidP="00235025">
      <w:pPr>
        <w:pStyle w:val="1"/>
        <w:widowControl/>
        <w:spacing w:line="560" w:lineRule="exact"/>
        <w:ind w:firstLine="630"/>
        <w:rPr>
          <w:rFonts w:ascii="仿宋_GB2312" w:hAnsi="仿宋_GB2312" w:cs="仿宋_GB2312"/>
          <w:color w:val="000000"/>
          <w:sz w:val="32"/>
          <w:szCs w:val="32"/>
        </w:rPr>
      </w:pPr>
      <w:r>
        <w:rPr>
          <w:rFonts w:ascii="仿宋" w:eastAsia="仿宋" w:hAnsi="仿宋" w:cs="仿宋" w:hint="eastAsia"/>
          <w:color w:val="000000"/>
          <w:sz w:val="32"/>
          <w:szCs w:val="32"/>
        </w:rPr>
        <w:t>（一）</w:t>
      </w:r>
      <w:r>
        <w:rPr>
          <w:rFonts w:ascii="仿宋_GB2312" w:hAnsi="仿宋_GB2312" w:cs="仿宋_GB2312" w:hint="eastAsia"/>
          <w:color w:val="000000"/>
          <w:sz w:val="32"/>
          <w:szCs w:val="32"/>
        </w:rPr>
        <w:t>开挖深度超过5m（含5m）的基坑（槽）的土方开挖、支护、降水工程。</w:t>
      </w:r>
    </w:p>
    <w:p w:rsidR="00235025" w:rsidRDefault="00235025" w:rsidP="00235025">
      <w:pPr>
        <w:pStyle w:val="1"/>
        <w:widowControl/>
        <w:spacing w:line="560" w:lineRule="exact"/>
        <w:ind w:firstLine="630"/>
        <w:rPr>
          <w:rFonts w:ascii="仿宋_GB2312" w:hAnsi="仿宋_GB2312" w:cs="仿宋_GB2312"/>
          <w:color w:val="000000"/>
          <w:sz w:val="32"/>
          <w:szCs w:val="32"/>
        </w:rPr>
      </w:pPr>
      <w:r>
        <w:rPr>
          <w:rFonts w:ascii="仿宋_GB2312" w:hAnsi="仿宋_GB2312" w:cs="仿宋_GB2312" w:hint="eastAsia"/>
          <w:color w:val="000000"/>
          <w:sz w:val="32"/>
          <w:szCs w:val="32"/>
        </w:rPr>
        <w:t>（二）开挖深度虽未超过5m，但地质条件、周围环境和地下管线复杂，或影响毗邻建筑（构筑物）安全基坑（槽）的土方开挖、高边坡、支护、降水工程。</w:t>
      </w:r>
    </w:p>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二、模板工程及支撑体系</w:t>
      </w:r>
    </w:p>
    <w:p w:rsidR="00235025" w:rsidRDefault="00235025" w:rsidP="00235025">
      <w:pPr>
        <w:pStyle w:val="1"/>
        <w:widowControl/>
        <w:spacing w:line="560" w:lineRule="exact"/>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（一）各类工具式模板工程：包括滑模、爬模、飞模、隧道模等工程。</w:t>
      </w:r>
    </w:p>
    <w:p w:rsidR="00235025" w:rsidRDefault="00235025" w:rsidP="00235025">
      <w:pPr>
        <w:pStyle w:val="1"/>
        <w:widowControl/>
        <w:spacing w:line="560" w:lineRule="exact"/>
        <w:rPr>
          <w:rFonts w:ascii="仿宋_GB2312" w:hAnsi="仿宋_GB2312" w:cs="仿宋_GB2312"/>
          <w:sz w:val="32"/>
          <w:szCs w:val="32"/>
        </w:rPr>
      </w:pPr>
      <w:r>
        <w:rPr>
          <w:rFonts w:ascii="仿宋_GB2312" w:hAnsi="仿宋_GB2312" w:cs="仿宋_GB2312" w:hint="eastAsia"/>
          <w:color w:val="000000"/>
          <w:sz w:val="32"/>
          <w:szCs w:val="32"/>
        </w:rPr>
        <w:t xml:space="preserve">　　（二）混凝土模板支撑工程：搭设高度8m及以上，或搭设跨度18m及以上，或施工总荷载（设计值）15kN/m</w:t>
      </w:r>
      <w:r>
        <w:rPr>
          <w:rFonts w:ascii="仿宋_GB2312" w:hAnsi="仿宋_GB2312" w:cs="仿宋_GB2312" w:hint="eastAsia"/>
          <w:color w:val="000000"/>
          <w:sz w:val="32"/>
          <w:szCs w:val="32"/>
          <w:vertAlign w:val="superscript"/>
        </w:rPr>
        <w:t>2</w:t>
      </w:r>
      <w:r>
        <w:rPr>
          <w:rFonts w:ascii="仿宋_GB2312" w:hAnsi="仿宋_GB2312" w:cs="仿宋_GB2312" w:hint="eastAsia"/>
          <w:color w:val="000000"/>
          <w:sz w:val="32"/>
          <w:szCs w:val="32"/>
        </w:rPr>
        <w:t>及以上，或集中线荷载（设计值）20kN/m及以上。</w:t>
      </w:r>
    </w:p>
    <w:p w:rsidR="00235025" w:rsidRDefault="00235025" w:rsidP="00235025">
      <w:pPr>
        <w:pStyle w:val="1"/>
        <w:widowControl/>
        <w:spacing w:line="560" w:lineRule="exact"/>
        <w:rPr>
          <w:rFonts w:ascii="仿宋" w:eastAsia="仿宋" w:hAnsi="仿宋" w:cs="仿宋"/>
          <w:sz w:val="32"/>
          <w:szCs w:val="32"/>
        </w:rPr>
      </w:pPr>
      <w:r>
        <w:rPr>
          <w:rFonts w:ascii="仿宋_GB2312" w:hAnsi="仿宋_GB2312" w:cs="仿宋_GB2312" w:hint="eastAsia"/>
          <w:color w:val="000000"/>
          <w:sz w:val="32"/>
          <w:szCs w:val="32"/>
        </w:rPr>
        <w:t xml:space="preserve">　　（三）承重支撑体系：用于钢结构安装等满堂支撑体系，承受单点集中荷载7kN及以上。</w:t>
      </w:r>
    </w:p>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三、起重吊装及起重机械安装拆卸工程</w:t>
      </w:r>
    </w:p>
    <w:p w:rsidR="00235025" w:rsidRDefault="00235025" w:rsidP="00235025">
      <w:pPr>
        <w:pStyle w:val="1"/>
        <w:widowControl/>
        <w:spacing w:line="560" w:lineRule="exact"/>
        <w:rPr>
          <w:rFonts w:ascii="仿宋_GB2312" w:hAnsi="仿宋_GB2312" w:cs="仿宋_GB2312"/>
          <w:color w:val="000000"/>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（一）采用非常规起重设备、方法，且单件起吊重量在100kN及以上的起重吊装工程。</w:t>
      </w:r>
    </w:p>
    <w:p w:rsidR="00235025" w:rsidRDefault="00235025" w:rsidP="00235025">
      <w:pPr>
        <w:pStyle w:val="1"/>
        <w:widowControl/>
        <w:spacing w:line="560" w:lineRule="exact"/>
        <w:ind w:firstLine="640"/>
        <w:rPr>
          <w:rFonts w:ascii="仿宋_GB2312" w:hAnsi="仿宋_GB2312" w:cs="仿宋_GB2312"/>
          <w:color w:val="000000"/>
          <w:sz w:val="32"/>
          <w:szCs w:val="32"/>
        </w:rPr>
      </w:pPr>
      <w:r>
        <w:rPr>
          <w:rFonts w:ascii="仿宋_GB2312" w:hAnsi="仿宋_GB2312" w:cs="仿宋_GB2312" w:hint="eastAsia"/>
          <w:color w:val="000000"/>
          <w:sz w:val="32"/>
          <w:szCs w:val="32"/>
        </w:rPr>
        <w:t>（二）起重量300kN及以上，或</w:t>
      </w:r>
      <w:proofErr w:type="gramStart"/>
      <w:r>
        <w:rPr>
          <w:rFonts w:ascii="仿宋_GB2312" w:hAnsi="仿宋_GB2312" w:cs="仿宋_GB2312" w:hint="eastAsia"/>
          <w:color w:val="000000"/>
          <w:sz w:val="32"/>
          <w:szCs w:val="32"/>
        </w:rPr>
        <w:t>搭设总</w:t>
      </w:r>
      <w:proofErr w:type="gramEnd"/>
      <w:r>
        <w:rPr>
          <w:rFonts w:ascii="仿宋_GB2312" w:hAnsi="仿宋_GB2312" w:cs="仿宋_GB2312" w:hint="eastAsia"/>
          <w:color w:val="000000"/>
          <w:sz w:val="32"/>
          <w:szCs w:val="32"/>
        </w:rPr>
        <w:t>高度200m及以上，或搭设基础标高在200m及以上的起重机械安装和拆卸工程。</w:t>
      </w:r>
    </w:p>
    <w:p w:rsidR="00235025" w:rsidRDefault="00235025" w:rsidP="00235025">
      <w:pPr>
        <w:pStyle w:val="1"/>
        <w:widowControl/>
        <w:spacing w:line="560" w:lineRule="exact"/>
        <w:ind w:firstLine="640"/>
        <w:rPr>
          <w:rFonts w:ascii="仿宋_GB2312" w:hAnsi="仿宋_GB2312" w:cs="仿宋_GB2312"/>
          <w:color w:val="000000"/>
          <w:sz w:val="32"/>
          <w:szCs w:val="32"/>
        </w:rPr>
      </w:pPr>
      <w:r>
        <w:rPr>
          <w:rFonts w:ascii="仿宋_GB2312" w:hAnsi="仿宋_GB2312" w:cs="仿宋_GB2312" w:hint="eastAsia"/>
          <w:color w:val="000000"/>
          <w:sz w:val="32"/>
          <w:szCs w:val="32"/>
        </w:rPr>
        <w:t>（三）发生严重变形或事故的起重机械的拆除工程。</w:t>
      </w:r>
    </w:p>
    <w:p w:rsidR="00235025" w:rsidRDefault="00235025" w:rsidP="00235025">
      <w:pPr>
        <w:pStyle w:val="1"/>
        <w:widowControl/>
        <w:spacing w:line="560" w:lineRule="exact"/>
        <w:ind w:firstLine="640"/>
        <w:rPr>
          <w:rFonts w:ascii="仿宋_GB2312" w:hAnsi="仿宋_GB2312" w:cs="仿宋_GB2312"/>
          <w:color w:val="000000"/>
          <w:sz w:val="32"/>
          <w:szCs w:val="32"/>
        </w:rPr>
      </w:pPr>
      <w:r>
        <w:rPr>
          <w:rFonts w:ascii="仿宋_GB2312" w:hAnsi="仿宋_GB2312" w:cs="仿宋_GB2312" w:hint="eastAsia"/>
          <w:color w:val="000000"/>
          <w:sz w:val="32"/>
          <w:szCs w:val="32"/>
        </w:rPr>
        <w:lastRenderedPageBreak/>
        <w:t>（四）采用高承台、钢结构平台、利用原有建筑结构的特殊基础工程；附着距离达1.5倍制造商的设计最大值、附着</w:t>
      </w:r>
      <w:proofErr w:type="gramStart"/>
      <w:r>
        <w:rPr>
          <w:rFonts w:ascii="仿宋_GB2312" w:hAnsi="仿宋_GB2312" w:cs="仿宋_GB2312" w:hint="eastAsia"/>
          <w:color w:val="000000"/>
          <w:sz w:val="32"/>
          <w:szCs w:val="32"/>
        </w:rPr>
        <w:t>杆数量</w:t>
      </w:r>
      <w:proofErr w:type="gramEnd"/>
      <w:r>
        <w:rPr>
          <w:rFonts w:ascii="仿宋_GB2312" w:hAnsi="仿宋_GB2312" w:cs="仿宋_GB2312" w:hint="eastAsia"/>
          <w:color w:val="000000"/>
          <w:sz w:val="32"/>
          <w:szCs w:val="32"/>
        </w:rPr>
        <w:t>少于制造商的设计数量、</w:t>
      </w:r>
      <w:proofErr w:type="gramStart"/>
      <w:r>
        <w:rPr>
          <w:rFonts w:ascii="仿宋_GB2312" w:hAnsi="仿宋_GB2312" w:cs="仿宋_GB2312" w:hint="eastAsia"/>
          <w:color w:val="000000"/>
          <w:sz w:val="32"/>
          <w:szCs w:val="32"/>
        </w:rPr>
        <w:t>附着杆均位于</w:t>
      </w:r>
      <w:proofErr w:type="gramEnd"/>
      <w:r>
        <w:rPr>
          <w:rFonts w:ascii="仿宋_GB2312" w:hAnsi="仿宋_GB2312" w:cs="仿宋_GB2312" w:hint="eastAsia"/>
          <w:color w:val="000000"/>
          <w:sz w:val="32"/>
          <w:szCs w:val="32"/>
        </w:rPr>
        <w:t>垂直附着面中心线的同一侧的起重机械附着工程，以及附着杆与垂直附着面中心线之间的夹角小于15°或大于65°的塔式起重机附着工程。</w:t>
      </w:r>
    </w:p>
    <w:p w:rsidR="00235025" w:rsidRDefault="00235025" w:rsidP="00235025">
      <w:pPr>
        <w:pStyle w:val="1"/>
        <w:widowControl/>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四、脚手架工程</w:t>
      </w:r>
    </w:p>
    <w:p w:rsidR="00235025" w:rsidRDefault="00235025" w:rsidP="00235025">
      <w:pPr>
        <w:pStyle w:val="1"/>
        <w:widowControl/>
        <w:spacing w:line="560" w:lineRule="exact"/>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（一）搭设高度50m及以上的落地式钢管脚手架工程。</w:t>
      </w:r>
    </w:p>
    <w:p w:rsidR="00235025" w:rsidRDefault="00235025" w:rsidP="00235025">
      <w:pPr>
        <w:pStyle w:val="1"/>
        <w:widowControl/>
        <w:spacing w:line="560" w:lineRule="exact"/>
        <w:ind w:firstLine="630"/>
        <w:rPr>
          <w:rFonts w:ascii="仿宋_GB2312" w:hAnsi="仿宋_GB2312" w:cs="仿宋_GB2312"/>
          <w:color w:val="000000"/>
          <w:sz w:val="32"/>
          <w:szCs w:val="32"/>
        </w:rPr>
      </w:pPr>
      <w:r>
        <w:rPr>
          <w:rFonts w:ascii="仿宋_GB2312" w:hAnsi="仿宋_GB2312" w:cs="仿宋_GB2312" w:hint="eastAsia"/>
          <w:color w:val="000000"/>
          <w:sz w:val="32"/>
          <w:szCs w:val="32"/>
        </w:rPr>
        <w:t>（二）提升高度在150m及以上的附着式升降脚手架工程或附着式升降操作平台工程。</w:t>
      </w:r>
    </w:p>
    <w:p w:rsidR="00235025" w:rsidRDefault="00235025" w:rsidP="00235025">
      <w:pPr>
        <w:pStyle w:val="1"/>
        <w:widowControl/>
        <w:spacing w:line="560" w:lineRule="exact"/>
        <w:ind w:firstLine="630"/>
        <w:rPr>
          <w:rFonts w:ascii="仿宋_GB2312" w:hAnsi="仿宋_GB2312" w:cs="仿宋_GB2312"/>
          <w:color w:val="000000"/>
          <w:sz w:val="32"/>
          <w:szCs w:val="32"/>
        </w:rPr>
      </w:pPr>
      <w:r>
        <w:rPr>
          <w:rFonts w:ascii="仿宋_GB2312" w:hAnsi="仿宋_GB2312" w:cs="仿宋_GB2312" w:hint="eastAsia"/>
          <w:color w:val="000000"/>
          <w:sz w:val="32"/>
          <w:szCs w:val="32"/>
        </w:rPr>
        <w:t>（三）分段架体搭设高度20m及以上的悬挑式脚手架工程。</w:t>
      </w:r>
    </w:p>
    <w:p w:rsidR="00235025" w:rsidRDefault="00235025" w:rsidP="00235025">
      <w:pPr>
        <w:pStyle w:val="1"/>
        <w:widowControl/>
        <w:spacing w:line="560" w:lineRule="exact"/>
        <w:ind w:firstLine="630"/>
        <w:rPr>
          <w:rFonts w:ascii="仿宋_GB2312" w:hAnsi="仿宋_GB2312" w:cs="仿宋_GB2312"/>
          <w:color w:val="000000"/>
          <w:sz w:val="32"/>
          <w:szCs w:val="32"/>
        </w:rPr>
      </w:pPr>
      <w:r>
        <w:rPr>
          <w:rFonts w:ascii="仿宋_GB2312" w:hAnsi="仿宋_GB2312" w:cs="仿宋_GB2312" w:hint="eastAsia"/>
          <w:color w:val="000000"/>
          <w:sz w:val="32"/>
          <w:szCs w:val="32"/>
        </w:rPr>
        <w:t>（四）作业面异形、复杂的或无法按产品说明书要求安装的</w:t>
      </w:r>
      <w:proofErr w:type="gramStart"/>
      <w:r>
        <w:rPr>
          <w:rFonts w:ascii="仿宋_GB2312" w:hAnsi="仿宋_GB2312" w:cs="仿宋_GB2312" w:hint="eastAsia"/>
          <w:color w:val="000000"/>
          <w:sz w:val="32"/>
          <w:szCs w:val="32"/>
        </w:rPr>
        <w:t>的</w:t>
      </w:r>
      <w:proofErr w:type="gramEnd"/>
      <w:r>
        <w:rPr>
          <w:rFonts w:ascii="仿宋_GB2312" w:hAnsi="仿宋_GB2312" w:cs="仿宋_GB2312" w:hint="eastAsia"/>
          <w:color w:val="000000"/>
          <w:sz w:val="32"/>
          <w:szCs w:val="32"/>
        </w:rPr>
        <w:t>高处作业吊篮工程。</w:t>
      </w:r>
    </w:p>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五、拆除工程</w:t>
      </w:r>
    </w:p>
    <w:p w:rsidR="00235025" w:rsidRDefault="00235025" w:rsidP="00235025">
      <w:pPr>
        <w:pStyle w:val="1"/>
        <w:widowControl/>
        <w:spacing w:line="560" w:lineRule="exact"/>
        <w:rPr>
          <w:rFonts w:ascii="仿宋_GB2312" w:hAnsi="仿宋_GB2312" w:cs="仿宋_GB2312"/>
          <w:color w:val="000000"/>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（一）码头、桥梁、高架、烟囱、水塔或拆除中容易引起有毒有害气（液）体或粉尘扩散、易燃易爆事故发生的特殊建（构）筑物</w:t>
      </w:r>
      <w:r>
        <w:rPr>
          <w:rFonts w:ascii="黑体" w:eastAsia="黑体" w:hAnsi="黑体" w:cs="仿宋_GB2312" w:hint="eastAsia"/>
          <w:color w:val="000000"/>
          <w:sz w:val="32"/>
          <w:szCs w:val="32"/>
        </w:rPr>
        <w:t>，</w:t>
      </w:r>
      <w:r>
        <w:rPr>
          <w:rFonts w:ascii="仿宋_GB2312" w:hAnsi="仿宋_GB2312" w:cs="仿宋_GB2312" w:hint="eastAsia"/>
          <w:color w:val="000000"/>
          <w:sz w:val="32"/>
          <w:szCs w:val="32"/>
        </w:rPr>
        <w:t>以及周边环境复杂的拆除工程。</w:t>
      </w:r>
    </w:p>
    <w:p w:rsidR="00235025" w:rsidRDefault="00235025" w:rsidP="00235025">
      <w:pPr>
        <w:pStyle w:val="1"/>
        <w:widowControl/>
        <w:spacing w:line="560" w:lineRule="exact"/>
        <w:rPr>
          <w:rFonts w:ascii="仿宋" w:eastAsia="仿宋" w:hAnsi="仿宋" w:cs="仿宋"/>
          <w:sz w:val="32"/>
          <w:szCs w:val="32"/>
        </w:rPr>
      </w:pPr>
      <w:r>
        <w:rPr>
          <w:rFonts w:ascii="仿宋_GB2312" w:hAnsi="仿宋_GB2312" w:cs="仿宋_GB2312" w:hint="eastAsia"/>
          <w:color w:val="000000"/>
          <w:sz w:val="32"/>
          <w:szCs w:val="32"/>
        </w:rPr>
        <w:t xml:space="preserve">　　（二）文物保护建筑、优秀历史建筑或历史文化风貌区影响范围内的拆除工程。</w:t>
      </w:r>
    </w:p>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六、暗挖工程</w:t>
      </w:r>
    </w:p>
    <w:p w:rsidR="00235025" w:rsidRDefault="00235025" w:rsidP="00235025">
      <w:pPr>
        <w:pStyle w:val="1"/>
        <w:widowControl/>
        <w:spacing w:line="560" w:lineRule="exact"/>
        <w:rPr>
          <w:rFonts w:ascii="仿宋_GB2312" w:hAnsi="仿宋_GB2312" w:cs="仿宋_GB2312"/>
          <w:color w:val="000000"/>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采用矿山法、盾构法、顶管法施工的隧道、洞室等工程。</w:t>
      </w:r>
    </w:p>
    <w:p w:rsidR="00235025" w:rsidRDefault="00235025" w:rsidP="00235025">
      <w:pPr>
        <w:pStyle w:val="1"/>
        <w:widowControl/>
        <w:spacing w:line="560" w:lineRule="exact"/>
        <w:rPr>
          <w:rFonts w:ascii="黑体" w:eastAsia="黑体" w:hAnsi="黑体" w:cs="黑体"/>
          <w:sz w:val="32"/>
          <w:szCs w:val="32"/>
        </w:rPr>
      </w:pPr>
      <w:r>
        <w:rPr>
          <w:rFonts w:ascii="黑体" w:eastAsia="黑体" w:hAnsi="黑体" w:cs="黑体" w:hint="eastAsia"/>
          <w:color w:val="000000"/>
          <w:sz w:val="32"/>
          <w:szCs w:val="32"/>
        </w:rPr>
        <w:t xml:space="preserve">　　七、其它</w:t>
      </w:r>
    </w:p>
    <w:p w:rsidR="00235025" w:rsidRDefault="00235025" w:rsidP="00235025">
      <w:pPr>
        <w:pStyle w:val="1"/>
        <w:widowControl/>
        <w:spacing w:line="560" w:lineRule="exact"/>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（一）施工高度50m及以上的建筑幕墙安装工程。</w:t>
      </w:r>
    </w:p>
    <w:p w:rsidR="00235025" w:rsidRDefault="00235025" w:rsidP="00235025">
      <w:pPr>
        <w:pStyle w:val="1"/>
        <w:widowControl/>
        <w:spacing w:line="560" w:lineRule="exact"/>
        <w:rPr>
          <w:rFonts w:ascii="仿宋_GB2312" w:hAnsi="仿宋_GB2312" w:cs="仿宋_GB2312"/>
          <w:sz w:val="32"/>
          <w:szCs w:val="32"/>
        </w:rPr>
      </w:pPr>
      <w:r>
        <w:rPr>
          <w:rFonts w:ascii="仿宋" w:eastAsia="仿宋" w:hAnsi="仿宋" w:cs="仿宋" w:hint="eastAsia"/>
          <w:color w:val="000000"/>
          <w:sz w:val="32"/>
          <w:szCs w:val="32"/>
        </w:rPr>
        <w:t xml:space="preserve">　　</w:t>
      </w:r>
      <w:r>
        <w:rPr>
          <w:rFonts w:ascii="仿宋_GB2312" w:hAnsi="仿宋_GB2312" w:cs="仿宋_GB2312" w:hint="eastAsia"/>
          <w:color w:val="000000"/>
          <w:sz w:val="32"/>
          <w:szCs w:val="32"/>
        </w:rPr>
        <w:t>（二）跨度36m及以上的钢结构安装工程，或跨度60m及以上的网架和</w:t>
      </w:r>
      <w:proofErr w:type="gramStart"/>
      <w:r>
        <w:rPr>
          <w:rFonts w:ascii="仿宋_GB2312" w:hAnsi="仿宋_GB2312" w:cs="仿宋_GB2312" w:hint="eastAsia"/>
          <w:color w:val="000000"/>
          <w:sz w:val="32"/>
          <w:szCs w:val="32"/>
        </w:rPr>
        <w:t>索膜</w:t>
      </w:r>
      <w:proofErr w:type="gramEnd"/>
      <w:r>
        <w:rPr>
          <w:rFonts w:ascii="仿宋_GB2312" w:hAnsi="仿宋_GB2312" w:cs="仿宋_GB2312" w:hint="eastAsia"/>
          <w:color w:val="000000"/>
          <w:sz w:val="32"/>
          <w:szCs w:val="32"/>
        </w:rPr>
        <w:t>结构安装工程。</w:t>
      </w:r>
    </w:p>
    <w:p w:rsidR="00235025" w:rsidRDefault="00235025" w:rsidP="00235025">
      <w:pPr>
        <w:pStyle w:val="1"/>
        <w:widowControl/>
        <w:spacing w:line="560" w:lineRule="exact"/>
        <w:rPr>
          <w:rFonts w:ascii="仿宋_GB2312" w:hAnsi="仿宋_GB2312" w:cs="仿宋_GB2312"/>
          <w:sz w:val="32"/>
          <w:szCs w:val="32"/>
        </w:rPr>
      </w:pPr>
      <w:r>
        <w:rPr>
          <w:rFonts w:ascii="仿宋_GB2312" w:hAnsi="仿宋_GB2312" w:cs="仿宋_GB2312" w:hint="eastAsia"/>
          <w:color w:val="000000"/>
          <w:sz w:val="32"/>
          <w:szCs w:val="32"/>
        </w:rPr>
        <w:lastRenderedPageBreak/>
        <w:t xml:space="preserve">　　（三）开挖深度16m及以上的人工挖孔桩工程。</w:t>
      </w:r>
    </w:p>
    <w:p w:rsidR="00235025" w:rsidRDefault="00235025" w:rsidP="00235025">
      <w:pPr>
        <w:pStyle w:val="1"/>
        <w:widowControl/>
        <w:spacing w:line="560" w:lineRule="exact"/>
        <w:rPr>
          <w:rFonts w:ascii="仿宋_GB2312" w:hAnsi="仿宋_GB2312" w:cs="仿宋_GB2312"/>
          <w:sz w:val="32"/>
          <w:szCs w:val="32"/>
        </w:rPr>
      </w:pPr>
      <w:r>
        <w:rPr>
          <w:rFonts w:ascii="仿宋_GB2312" w:hAnsi="仿宋_GB2312" w:cs="仿宋_GB2312" w:hint="eastAsia"/>
          <w:color w:val="000000"/>
          <w:sz w:val="32"/>
          <w:szCs w:val="32"/>
        </w:rPr>
        <w:t xml:space="preserve">　　（四）水下作业工程。</w:t>
      </w:r>
    </w:p>
    <w:p w:rsidR="00235025" w:rsidRDefault="00235025" w:rsidP="00235025">
      <w:pPr>
        <w:pStyle w:val="1"/>
        <w:widowControl/>
        <w:spacing w:line="560" w:lineRule="exact"/>
        <w:rPr>
          <w:rFonts w:ascii="仿宋_GB2312" w:hAnsi="仿宋_GB2312" w:cs="仿宋_GB2312"/>
          <w:sz w:val="32"/>
          <w:szCs w:val="32"/>
        </w:rPr>
      </w:pPr>
      <w:r>
        <w:rPr>
          <w:rFonts w:ascii="仿宋_GB2312" w:hAnsi="仿宋_GB2312" w:cs="仿宋_GB2312" w:hint="eastAsia"/>
          <w:color w:val="000000"/>
          <w:sz w:val="32"/>
          <w:szCs w:val="32"/>
        </w:rPr>
        <w:t xml:space="preserve">　　（五）重量1000kN及以上的大型结构整体顶升、平移、转体等施工工艺。</w:t>
      </w:r>
    </w:p>
    <w:p w:rsidR="00235025" w:rsidRDefault="00235025" w:rsidP="00235025">
      <w:pPr>
        <w:pStyle w:val="1"/>
        <w:widowControl/>
        <w:spacing w:line="560" w:lineRule="exact"/>
        <w:ind w:firstLine="640"/>
        <w:rPr>
          <w:rFonts w:ascii="仿宋_GB2312" w:hAnsi="仿宋_GB2312" w:cs="仿宋_GB2312"/>
          <w:color w:val="000000"/>
          <w:sz w:val="32"/>
          <w:szCs w:val="32"/>
        </w:rPr>
      </w:pPr>
      <w:r>
        <w:rPr>
          <w:rFonts w:ascii="仿宋_GB2312" w:hAnsi="仿宋_GB2312" w:cs="仿宋_GB2312" w:hint="eastAsia"/>
          <w:color w:val="000000"/>
          <w:sz w:val="32"/>
          <w:szCs w:val="32"/>
        </w:rPr>
        <w:t>（六）采用新技术、新工艺、新材料、新设备可能影响工程施工安全，尚无国家、行业及地方技术标准的分部分项工程。</w:t>
      </w:r>
    </w:p>
    <w:p w:rsidR="00235025" w:rsidRDefault="00235025" w:rsidP="00235025">
      <w:pPr>
        <w:pStyle w:val="1"/>
        <w:widowControl/>
        <w:spacing w:line="560" w:lineRule="exact"/>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（七）建设、勘察、设计、施工、监理单位三方以上共同认定或建设主管部门及其委托的安全监督机构认定为超过一定规模的危险性较大的分部分项工程。</w:t>
      </w:r>
    </w:p>
    <w:p w:rsidR="00235025" w:rsidRDefault="00235025" w:rsidP="00235025"/>
    <w:p w:rsidR="00235025" w:rsidRDefault="00235025" w:rsidP="00235025">
      <w:pPr>
        <w:rPr>
          <w:rFonts w:ascii="仿宋" w:eastAsia="仿宋" w:hAnsi="仿宋"/>
          <w:sz w:val="28"/>
          <w:szCs w:val="28"/>
        </w:rPr>
      </w:pPr>
    </w:p>
    <w:p w:rsidR="00235025" w:rsidRDefault="00235025" w:rsidP="00235025"/>
    <w:p w:rsidR="00D221C5" w:rsidRPr="00235025" w:rsidRDefault="00D221C5"/>
    <w:sectPr w:rsidR="00D221C5" w:rsidRPr="00235025" w:rsidSect="00B92C63">
      <w:pgSz w:w="11906" w:h="16838"/>
      <w:pgMar w:top="1644" w:right="1474" w:bottom="1418" w:left="1588" w:header="851" w:footer="992" w:gutter="0"/>
      <w:pgNumType w:fmt="numberInDash" w:start="1"/>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A4" w:rsidRDefault="00C008A4" w:rsidP="00235025">
      <w:pPr>
        <w:spacing w:line="240" w:lineRule="auto"/>
      </w:pPr>
      <w:r>
        <w:separator/>
      </w:r>
    </w:p>
  </w:endnote>
  <w:endnote w:type="continuationSeparator" w:id="0">
    <w:p w:rsidR="00C008A4" w:rsidRDefault="00C008A4" w:rsidP="002350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A4" w:rsidRDefault="00C008A4" w:rsidP="00235025">
      <w:pPr>
        <w:spacing w:line="240" w:lineRule="auto"/>
      </w:pPr>
      <w:r>
        <w:separator/>
      </w:r>
    </w:p>
  </w:footnote>
  <w:footnote w:type="continuationSeparator" w:id="0">
    <w:p w:rsidR="00C008A4" w:rsidRDefault="00C008A4" w:rsidP="0023502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025"/>
    <w:rsid w:val="00006D02"/>
    <w:rsid w:val="00235025"/>
    <w:rsid w:val="009146DD"/>
    <w:rsid w:val="00C008A4"/>
    <w:rsid w:val="00D221C5"/>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025"/>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025"/>
    <w:pPr>
      <w:pBdr>
        <w:bottom w:val="single" w:sz="6" w:space="1" w:color="auto"/>
      </w:pBdr>
      <w:tabs>
        <w:tab w:val="center" w:pos="4153"/>
        <w:tab w:val="right" w:pos="8306"/>
      </w:tabs>
      <w:snapToGrid w:val="0"/>
      <w:spacing w:line="240" w:lineRule="atLeast"/>
      <w:jc w:val="center"/>
    </w:pPr>
    <w:rPr>
      <w:rFonts w:eastAsiaTheme="minorEastAsia"/>
      <w:sz w:val="18"/>
      <w:szCs w:val="18"/>
    </w:rPr>
  </w:style>
  <w:style w:type="character" w:customStyle="1" w:styleId="Char">
    <w:name w:val="页眉 Char"/>
    <w:basedOn w:val="a0"/>
    <w:link w:val="a3"/>
    <w:uiPriority w:val="99"/>
    <w:semiHidden/>
    <w:rsid w:val="00235025"/>
    <w:rPr>
      <w:sz w:val="18"/>
      <w:szCs w:val="18"/>
    </w:rPr>
  </w:style>
  <w:style w:type="paragraph" w:styleId="a4">
    <w:name w:val="footer"/>
    <w:basedOn w:val="a"/>
    <w:link w:val="Char0"/>
    <w:uiPriority w:val="99"/>
    <w:semiHidden/>
    <w:unhideWhenUsed/>
    <w:rsid w:val="00235025"/>
    <w:pPr>
      <w:tabs>
        <w:tab w:val="center" w:pos="4153"/>
        <w:tab w:val="right" w:pos="8306"/>
      </w:tabs>
      <w:snapToGrid w:val="0"/>
      <w:spacing w:line="240" w:lineRule="atLeast"/>
      <w:jc w:val="left"/>
    </w:pPr>
    <w:rPr>
      <w:rFonts w:eastAsiaTheme="minorEastAsia"/>
      <w:sz w:val="18"/>
      <w:szCs w:val="18"/>
    </w:rPr>
  </w:style>
  <w:style w:type="character" w:customStyle="1" w:styleId="Char0">
    <w:name w:val="页脚 Char"/>
    <w:basedOn w:val="a0"/>
    <w:link w:val="a4"/>
    <w:uiPriority w:val="99"/>
    <w:semiHidden/>
    <w:rsid w:val="00235025"/>
    <w:rPr>
      <w:sz w:val="18"/>
      <w:szCs w:val="18"/>
    </w:rPr>
  </w:style>
  <w:style w:type="character" w:styleId="a5">
    <w:name w:val="Strong"/>
    <w:basedOn w:val="a0"/>
    <w:qFormat/>
    <w:rsid w:val="00235025"/>
    <w:rPr>
      <w:b/>
    </w:rPr>
  </w:style>
  <w:style w:type="paragraph" w:customStyle="1" w:styleId="1">
    <w:name w:val="普通(网站)1"/>
    <w:basedOn w:val="a"/>
    <w:rsid w:val="00235025"/>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Company>Microsoft</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2021-05-08T03:36:00Z</dcterms:created>
  <dcterms:modified xsi:type="dcterms:W3CDTF">2021-05-08T03:36:00Z</dcterms:modified>
</cp:coreProperties>
</file>