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28A51">
      <w:pPr>
        <w:pStyle w:val="41"/>
        <w:spacing w:after="0" w:line="360" w:lineRule="auto"/>
        <w:jc w:val="both"/>
        <w:rPr>
          <w:rFonts w:eastAsia="仿宋_GB2312" w:cs="Times New Roman"/>
          <w:sz w:val="32"/>
          <w:szCs w:val="32"/>
        </w:rPr>
      </w:pPr>
    </w:p>
    <w:p w14:paraId="616C74B2">
      <w:pPr>
        <w:pStyle w:val="41"/>
        <w:spacing w:after="0" w:line="360" w:lineRule="auto"/>
        <w:jc w:val="both"/>
        <w:rPr>
          <w:rFonts w:cs="Times New Roman"/>
        </w:rPr>
      </w:pPr>
    </w:p>
    <w:p w14:paraId="35A71960">
      <w:pPr>
        <w:pStyle w:val="41"/>
        <w:spacing w:after="0" w:line="360" w:lineRule="auto"/>
        <w:jc w:val="both"/>
        <w:rPr>
          <w:rFonts w:cs="Times New Roman"/>
        </w:rPr>
      </w:pPr>
    </w:p>
    <w:p w14:paraId="2D752268">
      <w:pPr>
        <w:pStyle w:val="41"/>
        <w:spacing w:after="0" w:line="360" w:lineRule="auto"/>
        <w:rPr>
          <w:rFonts w:cs="Times New Roman"/>
        </w:rPr>
      </w:pPr>
    </w:p>
    <w:p w14:paraId="596B8E3B">
      <w:pPr>
        <w:pStyle w:val="41"/>
        <w:spacing w:after="0" w:line="360" w:lineRule="auto"/>
        <w:rPr>
          <w:rFonts w:cs="Times New Roman"/>
        </w:rPr>
      </w:pPr>
    </w:p>
    <w:p w14:paraId="7ADDCA7B">
      <w:pPr>
        <w:pStyle w:val="38"/>
        <w:spacing w:after="0" w:line="360" w:lineRule="auto"/>
        <w:rPr>
          <w:rFonts w:hint="default" w:eastAsia="方正小标宋简体"/>
          <w:bCs/>
          <w:sz w:val="48"/>
          <w:szCs w:val="40"/>
        </w:rPr>
      </w:pPr>
      <w:r>
        <w:rPr>
          <w:rFonts w:hint="default" w:eastAsia="方正小标宋简体"/>
          <w:bCs/>
          <w:sz w:val="48"/>
          <w:szCs w:val="40"/>
        </w:rPr>
        <w:t>东莞市住房发展</w:t>
      </w:r>
      <w:r>
        <w:rPr>
          <w:rFonts w:ascii="方正小标宋简体" w:hAnsi="方正小标宋简体" w:eastAsia="方正小标宋简体" w:cs="方正小标宋简体"/>
          <w:bCs/>
          <w:sz w:val="48"/>
          <w:szCs w:val="40"/>
        </w:rPr>
        <w:t>“十五五”</w:t>
      </w:r>
      <w:r>
        <w:rPr>
          <w:rFonts w:hint="default" w:eastAsia="方正小标宋简体"/>
          <w:bCs/>
          <w:sz w:val="48"/>
          <w:szCs w:val="40"/>
        </w:rPr>
        <w:t>规划</w:t>
      </w:r>
    </w:p>
    <w:p w14:paraId="2E495710">
      <w:pPr>
        <w:pStyle w:val="38"/>
        <w:spacing w:after="0" w:line="360" w:lineRule="auto"/>
        <w:rPr>
          <w:rFonts w:hint="default" w:eastAsia="楷体_GB2312"/>
          <w:bCs/>
          <w:sz w:val="32"/>
          <w:szCs w:val="24"/>
        </w:rPr>
      </w:pPr>
    </w:p>
    <w:p w14:paraId="79A09427">
      <w:pPr>
        <w:pStyle w:val="38"/>
        <w:spacing w:after="0" w:line="360" w:lineRule="auto"/>
        <w:rPr>
          <w:rFonts w:hint="default" w:eastAsia="楷体_GB2312"/>
          <w:bCs/>
          <w:sz w:val="32"/>
          <w:szCs w:val="24"/>
        </w:rPr>
      </w:pPr>
    </w:p>
    <w:p w14:paraId="1AD7B027">
      <w:pPr>
        <w:spacing w:after="0" w:line="360" w:lineRule="auto"/>
        <w:rPr>
          <w:b/>
          <w:bCs/>
        </w:rPr>
      </w:pPr>
    </w:p>
    <w:p w14:paraId="0786CADF">
      <w:pPr>
        <w:spacing w:after="0" w:line="360" w:lineRule="auto"/>
        <w:rPr>
          <w:b/>
          <w:bCs/>
        </w:rPr>
      </w:pPr>
    </w:p>
    <w:p w14:paraId="65EC92BD">
      <w:pPr>
        <w:spacing w:after="0" w:line="360" w:lineRule="auto"/>
        <w:rPr>
          <w:b/>
          <w:bCs/>
        </w:rPr>
      </w:pPr>
    </w:p>
    <w:p w14:paraId="7B71E201">
      <w:pPr>
        <w:spacing w:after="0" w:line="360" w:lineRule="auto"/>
        <w:rPr>
          <w:b/>
          <w:bCs/>
        </w:rPr>
      </w:pPr>
    </w:p>
    <w:p w14:paraId="19A634F2">
      <w:pPr>
        <w:spacing w:after="0" w:line="360" w:lineRule="auto"/>
        <w:rPr>
          <w:b/>
          <w:bCs/>
        </w:rPr>
      </w:pPr>
    </w:p>
    <w:p w14:paraId="51188686">
      <w:pPr>
        <w:spacing w:after="0" w:line="360" w:lineRule="auto"/>
        <w:rPr>
          <w:b/>
          <w:bCs/>
        </w:rPr>
      </w:pPr>
    </w:p>
    <w:p w14:paraId="20114196">
      <w:pPr>
        <w:spacing w:after="0" w:line="360" w:lineRule="auto"/>
        <w:rPr>
          <w:b/>
          <w:bCs/>
        </w:rPr>
      </w:pPr>
    </w:p>
    <w:p w14:paraId="5B8DE354">
      <w:pPr>
        <w:spacing w:after="0" w:line="360" w:lineRule="auto"/>
        <w:rPr>
          <w:b/>
          <w:bCs/>
        </w:rPr>
      </w:pPr>
    </w:p>
    <w:p w14:paraId="4AB2EB3B">
      <w:pPr>
        <w:spacing w:after="0" w:line="360" w:lineRule="auto"/>
        <w:rPr>
          <w:b/>
          <w:bCs/>
        </w:rPr>
      </w:pPr>
    </w:p>
    <w:p w14:paraId="05C4BC99">
      <w:pPr>
        <w:spacing w:after="0" w:line="360" w:lineRule="auto"/>
        <w:rPr>
          <w:b/>
          <w:bCs/>
        </w:rPr>
      </w:pPr>
    </w:p>
    <w:p w14:paraId="6289C21C">
      <w:pPr>
        <w:spacing w:after="0" w:line="360" w:lineRule="auto"/>
        <w:jc w:val="center"/>
      </w:pPr>
      <w:bookmarkStart w:id="0" w:name="_Toc30049"/>
      <w:bookmarkStart w:id="1" w:name="_Toc196259721"/>
      <w:bookmarkStart w:id="2" w:name="_Toc25266"/>
      <w:bookmarkStart w:id="3" w:name="_Toc25178"/>
      <w:bookmarkStart w:id="4" w:name="_Toc28687"/>
      <w:bookmarkStart w:id="5" w:name="_Toc20486"/>
      <w:bookmarkStart w:id="6" w:name="_Toc18819"/>
      <w:r>
        <w:t>东莞市住房和城乡建设局</w:t>
      </w:r>
      <w:bookmarkEnd w:id="0"/>
      <w:bookmarkEnd w:id="1"/>
      <w:bookmarkEnd w:id="2"/>
      <w:bookmarkEnd w:id="3"/>
      <w:bookmarkEnd w:id="4"/>
    </w:p>
    <w:bookmarkEnd w:id="5"/>
    <w:bookmarkEnd w:id="6"/>
    <w:p w14:paraId="089BECA3">
      <w:pPr>
        <w:spacing w:after="0" w:line="360" w:lineRule="auto"/>
        <w:jc w:val="center"/>
        <w:rPr>
          <w:szCs w:val="32"/>
        </w:rPr>
      </w:pPr>
      <w:r>
        <w:t>2026年</w:t>
      </w:r>
      <w:r>
        <w:rPr>
          <w:rFonts w:hint="eastAsia"/>
          <w:lang w:val="en-US" w:eastAsia="zh-CN"/>
        </w:rPr>
        <w:t>11</w:t>
      </w:r>
      <w:r>
        <w:t>月</w:t>
      </w:r>
      <w:r>
        <w:rPr>
          <w:szCs w:val="32"/>
        </w:rPr>
        <w:br w:type="page"/>
      </w:r>
    </w:p>
    <w:p w14:paraId="6A6E4560">
      <w:pPr>
        <w:spacing w:after="0" w:line="360" w:lineRule="auto"/>
        <w:sectPr>
          <w:headerReference r:id="rId5" w:type="first"/>
          <w:footerReference r:id="rId7" w:type="first"/>
          <w:footerReference r:id="rId6" w:type="default"/>
          <w:footnotePr>
            <w:numFmt w:val="decimalEnclosedCircleChinese"/>
          </w:footnotePr>
          <w:pgSz w:w="11906" w:h="16838"/>
          <w:pgMar w:top="2098" w:right="1474" w:bottom="1984" w:left="1587" w:header="851" w:footer="992" w:gutter="0"/>
          <w:cols w:space="720" w:num="1"/>
          <w:titlePg/>
          <w:docGrid w:type="lines" w:linePitch="312" w:charSpace="0"/>
        </w:sectPr>
      </w:pPr>
    </w:p>
    <w:p w14:paraId="013132E4">
      <w:pPr>
        <w:overflowPunct w:val="0"/>
        <w:adjustRightInd w:val="0"/>
        <w:snapToGrid w:val="0"/>
        <w:spacing w:after="0" w:line="600" w:lineRule="exact"/>
        <w:jc w:val="center"/>
        <w:rPr>
          <w:rFonts w:eastAsia="黑体"/>
          <w:b/>
          <w:bCs/>
          <w:sz w:val="44"/>
          <w:szCs w:val="44"/>
        </w:rPr>
      </w:pPr>
      <w:r>
        <w:rPr>
          <w:rFonts w:hint="eastAsia" w:eastAsia="黑体"/>
          <w:b/>
          <w:bCs/>
          <w:sz w:val="44"/>
          <w:szCs w:val="44"/>
        </w:rPr>
        <w:t>目  录</w:t>
      </w:r>
    </w:p>
    <w:p w14:paraId="5131249F">
      <w:pPr>
        <w:overflowPunct w:val="0"/>
        <w:adjustRightInd w:val="0"/>
        <w:snapToGrid w:val="0"/>
        <w:spacing w:after="0" w:line="600" w:lineRule="exact"/>
        <w:jc w:val="center"/>
        <w:rPr>
          <w:rFonts w:eastAsia="黑体"/>
          <w:b/>
          <w:bCs/>
          <w:sz w:val="44"/>
          <w:szCs w:val="44"/>
        </w:rPr>
      </w:pPr>
    </w:p>
    <w:p w14:paraId="45D39B5F">
      <w:pPr>
        <w:pStyle w:val="20"/>
        <w:tabs>
          <w:tab w:val="right" w:leader="dot" w:pos="8845"/>
        </w:tabs>
        <w:spacing w:after="0"/>
      </w:pPr>
      <w:r>
        <w:rPr>
          <w:rFonts w:eastAsia="楷体_GB2312"/>
          <w:snapToGrid w:val="0"/>
          <w:sz w:val="30"/>
          <w:szCs w:val="30"/>
        </w:rPr>
        <w:fldChar w:fldCharType="begin"/>
      </w:r>
      <w:r>
        <w:rPr>
          <w:rFonts w:eastAsia="楷体_GB2312"/>
          <w:snapToGrid w:val="0"/>
          <w:sz w:val="30"/>
          <w:szCs w:val="30"/>
        </w:rPr>
        <w:instrText xml:space="preserve">TOC \o "1-2" \h \u </w:instrText>
      </w:r>
      <w:r>
        <w:rPr>
          <w:rFonts w:eastAsia="楷体_GB2312"/>
          <w:snapToGrid w:val="0"/>
          <w:sz w:val="30"/>
          <w:szCs w:val="30"/>
        </w:rPr>
        <w:fldChar w:fldCharType="separate"/>
      </w:r>
      <w:r>
        <w:rPr>
          <w:rFonts w:eastAsia="楷体_GB2312"/>
          <w:snapToGrid w:val="0"/>
          <w:szCs w:val="30"/>
        </w:rPr>
        <w:fldChar w:fldCharType="begin"/>
      </w:r>
      <w:r>
        <w:rPr>
          <w:rFonts w:eastAsia="楷体_GB2312"/>
          <w:snapToGrid w:val="0"/>
          <w:szCs w:val="30"/>
        </w:rPr>
        <w:instrText xml:space="preserve"> HYPERLINK \l _Toc17513 </w:instrText>
      </w:r>
      <w:r>
        <w:rPr>
          <w:rFonts w:eastAsia="楷体_GB2312"/>
          <w:snapToGrid w:val="0"/>
          <w:szCs w:val="30"/>
        </w:rPr>
        <w:fldChar w:fldCharType="separate"/>
      </w:r>
      <w:r>
        <w:t>一、发展基础</w:t>
      </w:r>
      <w:r>
        <w:tab/>
      </w:r>
      <w:r>
        <w:fldChar w:fldCharType="begin"/>
      </w:r>
      <w:r>
        <w:instrText xml:space="preserve"> PAGEREF _Toc17513 \h </w:instrText>
      </w:r>
      <w:r>
        <w:fldChar w:fldCharType="separate"/>
      </w:r>
      <w:r>
        <w:t>1</w:t>
      </w:r>
      <w:r>
        <w:fldChar w:fldCharType="end"/>
      </w:r>
      <w:r>
        <w:rPr>
          <w:rFonts w:eastAsia="楷体_GB2312"/>
          <w:snapToGrid w:val="0"/>
          <w:szCs w:val="30"/>
        </w:rPr>
        <w:fldChar w:fldCharType="end"/>
      </w:r>
    </w:p>
    <w:p w14:paraId="20A8AEDB">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_Toc335 </w:instrText>
      </w:r>
      <w:r>
        <w:rPr>
          <w:rFonts w:eastAsia="楷体_GB2312"/>
          <w:snapToGrid w:val="0"/>
          <w:szCs w:val="30"/>
        </w:rPr>
        <w:fldChar w:fldCharType="separate"/>
      </w:r>
      <w:r>
        <w:rPr>
          <w:rFonts w:hint="eastAsia" w:ascii="仿宋_GB2312" w:hAnsi="仿宋_GB2312" w:eastAsia="仿宋_GB2312" w:cs="仿宋_GB2312"/>
          <w:bCs/>
        </w:rPr>
        <w:t>（一）发展成效</w:t>
      </w:r>
      <w:r>
        <w:tab/>
      </w:r>
      <w:r>
        <w:fldChar w:fldCharType="begin"/>
      </w:r>
      <w:r>
        <w:instrText xml:space="preserve"> PAGEREF _Toc335 \h </w:instrText>
      </w:r>
      <w:r>
        <w:fldChar w:fldCharType="separate"/>
      </w:r>
      <w:r>
        <w:t>1</w:t>
      </w:r>
      <w:r>
        <w:fldChar w:fldCharType="end"/>
      </w:r>
      <w:r>
        <w:rPr>
          <w:rFonts w:eastAsia="楷体_GB2312"/>
          <w:snapToGrid w:val="0"/>
          <w:szCs w:val="30"/>
        </w:rPr>
        <w:fldChar w:fldCharType="end"/>
      </w:r>
    </w:p>
    <w:p w14:paraId="502F26A0">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_Toc30989 </w:instrText>
      </w:r>
      <w:r>
        <w:rPr>
          <w:rFonts w:eastAsia="楷体_GB2312"/>
          <w:snapToGrid w:val="0"/>
          <w:szCs w:val="30"/>
        </w:rPr>
        <w:fldChar w:fldCharType="separate"/>
      </w:r>
      <w:r>
        <w:rPr>
          <w:rFonts w:hint="eastAsia" w:ascii="仿宋_GB2312" w:hAnsi="仿宋_GB2312" w:eastAsia="仿宋_GB2312" w:cs="仿宋_GB2312"/>
          <w:bCs/>
        </w:rPr>
        <w:t>（二）发展形势</w:t>
      </w:r>
      <w:r>
        <w:tab/>
      </w:r>
      <w:r>
        <w:fldChar w:fldCharType="begin"/>
      </w:r>
      <w:r>
        <w:instrText xml:space="preserve"> PAGEREF _Toc30989 \h </w:instrText>
      </w:r>
      <w:r>
        <w:fldChar w:fldCharType="separate"/>
      </w:r>
      <w:r>
        <w:t>4</w:t>
      </w:r>
      <w:r>
        <w:fldChar w:fldCharType="end"/>
      </w:r>
      <w:r>
        <w:rPr>
          <w:rFonts w:eastAsia="楷体_GB2312"/>
          <w:snapToGrid w:val="0"/>
          <w:szCs w:val="30"/>
        </w:rPr>
        <w:fldChar w:fldCharType="end"/>
      </w:r>
    </w:p>
    <w:p w14:paraId="65E09A98">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_Toc2674 </w:instrText>
      </w:r>
      <w:r>
        <w:rPr>
          <w:rFonts w:eastAsia="楷体_GB2312"/>
          <w:snapToGrid w:val="0"/>
          <w:szCs w:val="30"/>
        </w:rPr>
        <w:fldChar w:fldCharType="separate"/>
      </w:r>
      <w:r>
        <w:t>二、总体要求</w:t>
      </w:r>
      <w:r>
        <w:tab/>
      </w:r>
      <w:r>
        <w:fldChar w:fldCharType="begin"/>
      </w:r>
      <w:r>
        <w:instrText xml:space="preserve"> PAGEREF _Toc2674 \h </w:instrText>
      </w:r>
      <w:r>
        <w:fldChar w:fldCharType="separate"/>
      </w:r>
      <w:r>
        <w:t>5</w:t>
      </w:r>
      <w:r>
        <w:fldChar w:fldCharType="end"/>
      </w:r>
      <w:r>
        <w:rPr>
          <w:rFonts w:eastAsia="楷体_GB2312"/>
          <w:snapToGrid w:val="0"/>
          <w:szCs w:val="30"/>
        </w:rPr>
        <w:fldChar w:fldCharType="end"/>
      </w:r>
    </w:p>
    <w:p w14:paraId="5DA88B6A">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_Toc8342 </w:instrText>
      </w:r>
      <w:r>
        <w:rPr>
          <w:rFonts w:eastAsia="楷体_GB2312"/>
          <w:snapToGrid w:val="0"/>
          <w:szCs w:val="30"/>
        </w:rPr>
        <w:fldChar w:fldCharType="separate"/>
      </w:r>
      <w:r>
        <w:rPr>
          <w:rFonts w:hint="eastAsia" w:ascii="仿宋_GB2312" w:hAnsi="仿宋_GB2312" w:cs="仿宋_GB2312"/>
          <w:bCs/>
        </w:rPr>
        <w:t>（一）指导思想</w:t>
      </w:r>
      <w:r>
        <w:tab/>
      </w:r>
      <w:r>
        <w:fldChar w:fldCharType="begin"/>
      </w:r>
      <w:r>
        <w:instrText xml:space="preserve"> PAGEREF _Toc8342 \h </w:instrText>
      </w:r>
      <w:r>
        <w:fldChar w:fldCharType="separate"/>
      </w:r>
      <w:r>
        <w:t>5</w:t>
      </w:r>
      <w:r>
        <w:fldChar w:fldCharType="end"/>
      </w:r>
      <w:r>
        <w:rPr>
          <w:rFonts w:eastAsia="楷体_GB2312"/>
          <w:snapToGrid w:val="0"/>
          <w:szCs w:val="30"/>
        </w:rPr>
        <w:fldChar w:fldCharType="end"/>
      </w:r>
    </w:p>
    <w:p w14:paraId="2A5CB583">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_Toc8868 </w:instrText>
      </w:r>
      <w:r>
        <w:rPr>
          <w:rFonts w:eastAsia="楷体_GB2312"/>
          <w:snapToGrid w:val="0"/>
          <w:szCs w:val="30"/>
        </w:rPr>
        <w:fldChar w:fldCharType="separate"/>
      </w:r>
      <w:r>
        <w:rPr>
          <w:rFonts w:hint="eastAsia" w:ascii="仿宋_GB2312" w:hAnsi="仿宋_GB2312" w:eastAsia="仿宋_GB2312" w:cs="仿宋_GB2312"/>
          <w:bCs/>
        </w:rPr>
        <w:t>（二）基本原则</w:t>
      </w:r>
      <w:r>
        <w:tab/>
      </w:r>
      <w:r>
        <w:fldChar w:fldCharType="begin"/>
      </w:r>
      <w:r>
        <w:instrText xml:space="preserve"> PAGEREF _Toc8868 \h </w:instrText>
      </w:r>
      <w:r>
        <w:fldChar w:fldCharType="separate"/>
      </w:r>
      <w:r>
        <w:t>6</w:t>
      </w:r>
      <w:r>
        <w:fldChar w:fldCharType="end"/>
      </w:r>
      <w:r>
        <w:rPr>
          <w:rFonts w:eastAsia="楷体_GB2312"/>
          <w:snapToGrid w:val="0"/>
          <w:szCs w:val="30"/>
        </w:rPr>
        <w:fldChar w:fldCharType="end"/>
      </w:r>
    </w:p>
    <w:p w14:paraId="56E2B549">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_Toc9403 </w:instrText>
      </w:r>
      <w:r>
        <w:rPr>
          <w:rFonts w:eastAsia="楷体_GB2312"/>
          <w:snapToGrid w:val="0"/>
          <w:szCs w:val="30"/>
        </w:rPr>
        <w:fldChar w:fldCharType="separate"/>
      </w:r>
      <w:r>
        <w:rPr>
          <w:rFonts w:hint="eastAsia" w:ascii="仿宋_GB2312" w:hAnsi="仿宋_GB2312" w:cs="仿宋_GB2312"/>
          <w:bCs/>
        </w:rPr>
        <w:t>（三）发展目标</w:t>
      </w:r>
      <w:r>
        <w:tab/>
      </w:r>
      <w:r>
        <w:fldChar w:fldCharType="begin"/>
      </w:r>
      <w:r>
        <w:instrText xml:space="preserve"> PAGEREF _Toc9403 \h </w:instrText>
      </w:r>
      <w:r>
        <w:fldChar w:fldCharType="separate"/>
      </w:r>
      <w:r>
        <w:t>6</w:t>
      </w:r>
      <w:r>
        <w:fldChar w:fldCharType="end"/>
      </w:r>
      <w:r>
        <w:rPr>
          <w:rFonts w:eastAsia="楷体_GB2312"/>
          <w:snapToGrid w:val="0"/>
          <w:szCs w:val="30"/>
        </w:rPr>
        <w:fldChar w:fldCharType="end"/>
      </w:r>
    </w:p>
    <w:p w14:paraId="4D133F30">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_Toc17567 </w:instrText>
      </w:r>
      <w:r>
        <w:rPr>
          <w:rFonts w:eastAsia="楷体_GB2312"/>
          <w:snapToGrid w:val="0"/>
          <w:szCs w:val="30"/>
        </w:rPr>
        <w:fldChar w:fldCharType="separate"/>
      </w:r>
      <w:r>
        <w:t>三、重点任务</w:t>
      </w:r>
      <w:r>
        <w:tab/>
      </w:r>
      <w:r>
        <w:fldChar w:fldCharType="begin"/>
      </w:r>
      <w:r>
        <w:instrText xml:space="preserve"> PAGEREF _Toc17567 \h </w:instrText>
      </w:r>
      <w:r>
        <w:fldChar w:fldCharType="separate"/>
      </w:r>
      <w:r>
        <w:t>8</w:t>
      </w:r>
      <w:r>
        <w:fldChar w:fldCharType="end"/>
      </w:r>
      <w:r>
        <w:rPr>
          <w:rFonts w:eastAsia="楷体_GB2312"/>
          <w:snapToGrid w:val="0"/>
          <w:szCs w:val="30"/>
        </w:rPr>
        <w:fldChar w:fldCharType="end"/>
      </w:r>
    </w:p>
    <w:p w14:paraId="2133A462">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_Toc30126 </w:instrText>
      </w:r>
      <w:r>
        <w:rPr>
          <w:rFonts w:eastAsia="楷体_GB2312"/>
          <w:snapToGrid w:val="0"/>
          <w:szCs w:val="30"/>
        </w:rPr>
        <w:fldChar w:fldCharType="separate"/>
      </w:r>
      <w:r>
        <w:rPr>
          <w:rFonts w:hint="eastAsia" w:ascii="仿宋_GB2312" w:hAnsi="仿宋_GB2312" w:cs="仿宋_GB2312"/>
          <w:bCs/>
        </w:rPr>
        <w:t>（一）稳定住房市场，充分释放住房消费需求</w:t>
      </w:r>
      <w:r>
        <w:tab/>
      </w:r>
      <w:r>
        <w:fldChar w:fldCharType="begin"/>
      </w:r>
      <w:r>
        <w:instrText xml:space="preserve"> PAGEREF _Toc30126 \h </w:instrText>
      </w:r>
      <w:r>
        <w:fldChar w:fldCharType="separate"/>
      </w:r>
      <w:r>
        <w:t>8</w:t>
      </w:r>
      <w:r>
        <w:fldChar w:fldCharType="end"/>
      </w:r>
      <w:r>
        <w:rPr>
          <w:rFonts w:eastAsia="楷体_GB2312"/>
          <w:snapToGrid w:val="0"/>
          <w:szCs w:val="30"/>
        </w:rPr>
        <w:fldChar w:fldCharType="end"/>
      </w:r>
    </w:p>
    <w:p w14:paraId="6688F3DB">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_Toc26303 </w:instrText>
      </w:r>
      <w:r>
        <w:rPr>
          <w:rFonts w:eastAsia="楷体_GB2312"/>
          <w:snapToGrid w:val="0"/>
          <w:szCs w:val="30"/>
        </w:rPr>
        <w:fldChar w:fldCharType="separate"/>
      </w:r>
      <w:r>
        <w:rPr>
          <w:rFonts w:hint="eastAsia" w:ascii="仿宋_GB2312" w:hAnsi="仿宋_GB2312" w:cs="仿宋_GB2312"/>
          <w:bCs/>
        </w:rPr>
        <w:t>（二）优化保障供给，更精准匹配各层次安居需求</w:t>
      </w:r>
      <w:r>
        <w:tab/>
      </w:r>
      <w:r>
        <w:fldChar w:fldCharType="begin"/>
      </w:r>
      <w:r>
        <w:instrText xml:space="preserve"> PAGEREF _Toc26303 \h </w:instrText>
      </w:r>
      <w:r>
        <w:fldChar w:fldCharType="separate"/>
      </w:r>
      <w:r>
        <w:t>10</w:t>
      </w:r>
      <w:r>
        <w:fldChar w:fldCharType="end"/>
      </w:r>
      <w:r>
        <w:rPr>
          <w:rFonts w:eastAsia="楷体_GB2312"/>
          <w:snapToGrid w:val="0"/>
          <w:szCs w:val="30"/>
        </w:rPr>
        <w:fldChar w:fldCharType="end"/>
      </w:r>
    </w:p>
    <w:p w14:paraId="0A3464C8">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_Toc9085 </w:instrText>
      </w:r>
      <w:r>
        <w:rPr>
          <w:rFonts w:eastAsia="楷体_GB2312"/>
          <w:snapToGrid w:val="0"/>
          <w:szCs w:val="30"/>
        </w:rPr>
        <w:fldChar w:fldCharType="separate"/>
      </w:r>
      <w:r>
        <w:rPr>
          <w:rFonts w:hint="eastAsia" w:ascii="仿宋_GB2312" w:hAnsi="仿宋_GB2312" w:cs="仿宋_GB2312"/>
          <w:bCs/>
        </w:rPr>
        <w:t>（三）完善基础制度，加快构建房地产发展新模式</w:t>
      </w:r>
      <w:r>
        <w:tab/>
      </w:r>
      <w:r>
        <w:fldChar w:fldCharType="begin"/>
      </w:r>
      <w:r>
        <w:instrText xml:space="preserve"> PAGEREF _Toc9085 \h </w:instrText>
      </w:r>
      <w:r>
        <w:fldChar w:fldCharType="separate"/>
      </w:r>
      <w:r>
        <w:t>12</w:t>
      </w:r>
      <w:r>
        <w:fldChar w:fldCharType="end"/>
      </w:r>
      <w:r>
        <w:rPr>
          <w:rFonts w:eastAsia="楷体_GB2312"/>
          <w:snapToGrid w:val="0"/>
          <w:szCs w:val="30"/>
        </w:rPr>
        <w:fldChar w:fldCharType="end"/>
      </w:r>
    </w:p>
    <w:p w14:paraId="4191BB02">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_Toc10080 </w:instrText>
      </w:r>
      <w:r>
        <w:rPr>
          <w:rFonts w:eastAsia="楷体_GB2312"/>
          <w:snapToGrid w:val="0"/>
          <w:szCs w:val="30"/>
        </w:rPr>
        <w:fldChar w:fldCharType="separate"/>
      </w:r>
      <w:r>
        <w:rPr>
          <w:rFonts w:hint="eastAsia" w:ascii="仿宋_GB2312" w:hAnsi="仿宋_GB2312" w:cs="仿宋_GB2312"/>
          <w:bCs/>
        </w:rPr>
        <w:t>（四）优化标准规范，大力推动“好房子”建设</w:t>
      </w:r>
      <w:r>
        <w:tab/>
      </w:r>
      <w:r>
        <w:fldChar w:fldCharType="begin"/>
      </w:r>
      <w:r>
        <w:instrText xml:space="preserve"> PAGEREF _Toc10080 \h </w:instrText>
      </w:r>
      <w:r>
        <w:fldChar w:fldCharType="separate"/>
      </w:r>
      <w:r>
        <w:t>13</w:t>
      </w:r>
      <w:r>
        <w:fldChar w:fldCharType="end"/>
      </w:r>
      <w:r>
        <w:rPr>
          <w:rFonts w:eastAsia="楷体_GB2312"/>
          <w:snapToGrid w:val="0"/>
          <w:szCs w:val="30"/>
        </w:rPr>
        <w:fldChar w:fldCharType="end"/>
      </w:r>
    </w:p>
    <w:p w14:paraId="1F0A4AB5">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_Toc28567 </w:instrText>
      </w:r>
      <w:r>
        <w:rPr>
          <w:rFonts w:eastAsia="楷体_GB2312"/>
          <w:snapToGrid w:val="0"/>
          <w:szCs w:val="30"/>
        </w:rPr>
        <w:fldChar w:fldCharType="separate"/>
      </w:r>
      <w:r>
        <w:rPr>
          <w:rFonts w:hint="eastAsia" w:ascii="仿宋_GB2312" w:hAnsi="仿宋_GB2312" w:cs="仿宋_GB2312"/>
          <w:bCs/>
        </w:rPr>
        <w:t>（五）推动存量提质，高质量开展城市更新</w:t>
      </w:r>
      <w:r>
        <w:tab/>
      </w:r>
      <w:r>
        <w:fldChar w:fldCharType="begin"/>
      </w:r>
      <w:r>
        <w:instrText xml:space="preserve"> PAGEREF _Toc28567 \h </w:instrText>
      </w:r>
      <w:r>
        <w:fldChar w:fldCharType="separate"/>
      </w:r>
      <w:r>
        <w:t>15</w:t>
      </w:r>
      <w:r>
        <w:fldChar w:fldCharType="end"/>
      </w:r>
      <w:r>
        <w:rPr>
          <w:rFonts w:eastAsia="楷体_GB2312"/>
          <w:snapToGrid w:val="0"/>
          <w:szCs w:val="30"/>
        </w:rPr>
        <w:fldChar w:fldCharType="end"/>
      </w:r>
    </w:p>
    <w:p w14:paraId="36D1004C">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_Toc21699 </w:instrText>
      </w:r>
      <w:r>
        <w:rPr>
          <w:rFonts w:eastAsia="楷体_GB2312"/>
          <w:snapToGrid w:val="0"/>
          <w:szCs w:val="30"/>
        </w:rPr>
        <w:fldChar w:fldCharType="separate"/>
      </w:r>
      <w:r>
        <w:rPr>
          <w:rFonts w:hint="eastAsia" w:ascii="仿宋_GB2312" w:hAnsi="仿宋_GB2312" w:cs="仿宋_GB2312"/>
          <w:bCs/>
        </w:rPr>
        <w:t>（六）强化数字赋能，提升住房管理能力与服务质效</w:t>
      </w:r>
      <w:r>
        <w:tab/>
      </w:r>
      <w:r>
        <w:fldChar w:fldCharType="begin"/>
      </w:r>
      <w:r>
        <w:instrText xml:space="preserve"> PAGEREF _Toc21699 \h </w:instrText>
      </w:r>
      <w:r>
        <w:fldChar w:fldCharType="separate"/>
      </w:r>
      <w:r>
        <w:t>17</w:t>
      </w:r>
      <w:r>
        <w:fldChar w:fldCharType="end"/>
      </w:r>
      <w:r>
        <w:rPr>
          <w:rFonts w:eastAsia="楷体_GB2312"/>
          <w:snapToGrid w:val="0"/>
          <w:szCs w:val="30"/>
        </w:rPr>
        <w:fldChar w:fldCharType="end"/>
      </w:r>
    </w:p>
    <w:p w14:paraId="4F464116">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_Toc32635 </w:instrText>
      </w:r>
      <w:r>
        <w:rPr>
          <w:rFonts w:eastAsia="楷体_GB2312"/>
          <w:snapToGrid w:val="0"/>
          <w:szCs w:val="30"/>
        </w:rPr>
        <w:fldChar w:fldCharType="separate"/>
      </w:r>
      <w:r>
        <w:t>四、空间指引</w:t>
      </w:r>
      <w:r>
        <w:tab/>
      </w:r>
      <w:r>
        <w:fldChar w:fldCharType="begin"/>
      </w:r>
      <w:r>
        <w:instrText xml:space="preserve"> PAGEREF _Toc32635 \h </w:instrText>
      </w:r>
      <w:r>
        <w:fldChar w:fldCharType="separate"/>
      </w:r>
      <w:r>
        <w:t>18</w:t>
      </w:r>
      <w:r>
        <w:fldChar w:fldCharType="end"/>
      </w:r>
      <w:r>
        <w:rPr>
          <w:rFonts w:eastAsia="楷体_GB2312"/>
          <w:snapToGrid w:val="0"/>
          <w:szCs w:val="30"/>
        </w:rPr>
        <w:fldChar w:fldCharType="end"/>
      </w:r>
    </w:p>
    <w:p w14:paraId="3E706DC7">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_Toc30093 </w:instrText>
      </w:r>
      <w:r>
        <w:rPr>
          <w:rFonts w:eastAsia="楷体_GB2312"/>
          <w:snapToGrid w:val="0"/>
          <w:szCs w:val="30"/>
        </w:rPr>
        <w:fldChar w:fldCharType="separate"/>
      </w:r>
      <w:r>
        <w:rPr>
          <w:rFonts w:hint="eastAsia" w:ascii="仿宋_GB2312" w:hAnsi="仿宋_GB2312" w:cs="仿宋_GB2312"/>
          <w:bCs/>
          <w:lang w:bidi="zh-CN"/>
        </w:rPr>
        <w:t>（一）城区片区：现代化城市居住样板区</w:t>
      </w:r>
      <w:r>
        <w:tab/>
      </w:r>
      <w:r>
        <w:fldChar w:fldCharType="begin"/>
      </w:r>
      <w:r>
        <w:instrText xml:space="preserve"> PAGEREF _Toc30093 \h </w:instrText>
      </w:r>
      <w:r>
        <w:fldChar w:fldCharType="separate"/>
      </w:r>
      <w:r>
        <w:t>18</w:t>
      </w:r>
      <w:r>
        <w:fldChar w:fldCharType="end"/>
      </w:r>
      <w:r>
        <w:rPr>
          <w:rFonts w:eastAsia="楷体_GB2312"/>
          <w:snapToGrid w:val="0"/>
          <w:szCs w:val="30"/>
        </w:rPr>
        <w:fldChar w:fldCharType="end"/>
      </w:r>
    </w:p>
    <w:p w14:paraId="722B1E5D">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_Toc25048 </w:instrText>
      </w:r>
      <w:r>
        <w:rPr>
          <w:rFonts w:eastAsia="楷体_GB2312"/>
          <w:snapToGrid w:val="0"/>
          <w:szCs w:val="30"/>
        </w:rPr>
        <w:fldChar w:fldCharType="separate"/>
      </w:r>
      <w:r>
        <w:rPr>
          <w:rFonts w:hint="eastAsia" w:ascii="仿宋_GB2312" w:hAnsi="仿宋_GB2312" w:cs="仿宋_GB2312"/>
          <w:bCs/>
          <w:lang w:bidi="zh-CN"/>
        </w:rPr>
        <w:t>（二）松山湖片区：高品质宜居创新区</w:t>
      </w:r>
      <w:r>
        <w:tab/>
      </w:r>
      <w:r>
        <w:fldChar w:fldCharType="begin"/>
      </w:r>
      <w:r>
        <w:instrText xml:space="preserve"> PAGEREF _Toc25048 \h </w:instrText>
      </w:r>
      <w:r>
        <w:fldChar w:fldCharType="separate"/>
      </w:r>
      <w:r>
        <w:t>19</w:t>
      </w:r>
      <w:r>
        <w:fldChar w:fldCharType="end"/>
      </w:r>
      <w:r>
        <w:rPr>
          <w:rFonts w:eastAsia="楷体_GB2312"/>
          <w:snapToGrid w:val="0"/>
          <w:szCs w:val="30"/>
        </w:rPr>
        <w:fldChar w:fldCharType="end"/>
      </w:r>
    </w:p>
    <w:p w14:paraId="0A7261C1">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_Toc24036 </w:instrText>
      </w:r>
      <w:r>
        <w:rPr>
          <w:rFonts w:eastAsia="楷体_GB2312"/>
          <w:snapToGrid w:val="0"/>
          <w:szCs w:val="30"/>
        </w:rPr>
        <w:fldChar w:fldCharType="separate"/>
      </w:r>
      <w:r>
        <w:rPr>
          <w:rFonts w:hint="eastAsia" w:ascii="仿宋_GB2312" w:hAnsi="仿宋_GB2312" w:cs="仿宋_GB2312"/>
          <w:bCs/>
          <w:lang w:bidi="zh-CN"/>
        </w:rPr>
        <w:t>（三）滨海湾片区：高品质智慧新城</w:t>
      </w:r>
      <w:r>
        <w:tab/>
      </w:r>
      <w:r>
        <w:fldChar w:fldCharType="begin"/>
      </w:r>
      <w:r>
        <w:instrText xml:space="preserve"> PAGEREF _Toc24036 \h </w:instrText>
      </w:r>
      <w:r>
        <w:fldChar w:fldCharType="separate"/>
      </w:r>
      <w:r>
        <w:t>19</w:t>
      </w:r>
      <w:r>
        <w:fldChar w:fldCharType="end"/>
      </w:r>
      <w:r>
        <w:rPr>
          <w:rFonts w:eastAsia="楷体_GB2312"/>
          <w:snapToGrid w:val="0"/>
          <w:szCs w:val="30"/>
        </w:rPr>
        <w:fldChar w:fldCharType="end"/>
      </w:r>
    </w:p>
    <w:p w14:paraId="744D3006">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_Toc24996 </w:instrText>
      </w:r>
      <w:r>
        <w:rPr>
          <w:rFonts w:eastAsia="楷体_GB2312"/>
          <w:snapToGrid w:val="0"/>
          <w:szCs w:val="30"/>
        </w:rPr>
        <w:fldChar w:fldCharType="separate"/>
      </w:r>
      <w:r>
        <w:rPr>
          <w:rFonts w:hint="eastAsia" w:ascii="仿宋_GB2312" w:hAnsi="仿宋_GB2312" w:cs="仿宋_GB2312"/>
          <w:bCs/>
          <w:lang w:val="zh-CN" w:bidi="zh-CN"/>
        </w:rPr>
        <w:t>（</w:t>
      </w:r>
      <w:r>
        <w:rPr>
          <w:rFonts w:hint="eastAsia" w:ascii="仿宋_GB2312" w:hAnsi="仿宋_GB2312" w:cs="仿宋_GB2312"/>
          <w:bCs/>
          <w:lang w:bidi="zh-CN"/>
        </w:rPr>
        <w:t>四</w:t>
      </w:r>
      <w:r>
        <w:rPr>
          <w:rFonts w:hint="eastAsia" w:ascii="仿宋_GB2312" w:hAnsi="仿宋_GB2312" w:cs="仿宋_GB2312"/>
          <w:bCs/>
          <w:lang w:val="zh-CN" w:bidi="zh-CN"/>
        </w:rPr>
        <w:t>）水乡新城片区：</w:t>
      </w:r>
      <w:r>
        <w:rPr>
          <w:rFonts w:hint="eastAsia" w:ascii="仿宋_GB2312" w:hAnsi="仿宋_GB2312" w:cs="仿宋_GB2312"/>
          <w:bCs/>
          <w:lang w:bidi="zh-CN"/>
        </w:rPr>
        <w:t>生态特色居住组</w:t>
      </w:r>
      <w:r>
        <w:rPr>
          <w:rFonts w:hint="eastAsia" w:ascii="仿宋_GB2312" w:hAnsi="仿宋_GB2312" w:cs="仿宋_GB2312"/>
          <w:bCs/>
          <w:lang w:val="zh-CN" w:bidi="zh-CN"/>
        </w:rPr>
        <w:t>团</w:t>
      </w:r>
      <w:r>
        <w:tab/>
      </w:r>
      <w:r>
        <w:fldChar w:fldCharType="begin"/>
      </w:r>
      <w:r>
        <w:instrText xml:space="preserve"> PAGEREF _Toc24996 \h </w:instrText>
      </w:r>
      <w:r>
        <w:fldChar w:fldCharType="separate"/>
      </w:r>
      <w:r>
        <w:t>19</w:t>
      </w:r>
      <w:r>
        <w:fldChar w:fldCharType="end"/>
      </w:r>
      <w:r>
        <w:rPr>
          <w:rFonts w:eastAsia="楷体_GB2312"/>
          <w:snapToGrid w:val="0"/>
          <w:szCs w:val="30"/>
        </w:rPr>
        <w:fldChar w:fldCharType="end"/>
      </w:r>
    </w:p>
    <w:p w14:paraId="09A7CBEF">
      <w:pPr>
        <w:pStyle w:val="23"/>
        <w:tabs>
          <w:tab w:val="right" w:leader="dot" w:pos="8845"/>
        </w:tabs>
        <w:spacing w:after="0"/>
        <w:ind w:left="640"/>
        <w:rPr>
          <w:rFonts w:eastAsia="楷体_GB2312"/>
          <w:snapToGrid w:val="0"/>
          <w:szCs w:val="30"/>
        </w:rPr>
        <w:sectPr>
          <w:footerReference r:id="rId9" w:type="first"/>
          <w:footerReference r:id="rId8" w:type="default"/>
          <w:footnotePr>
            <w:numFmt w:val="decimalEnclosedCircleChinese"/>
          </w:footnotePr>
          <w:pgSz w:w="11906" w:h="16838"/>
          <w:pgMar w:top="2098" w:right="1474" w:bottom="1984" w:left="1587" w:header="851" w:footer="992" w:gutter="0"/>
          <w:pgNumType w:fmt="upperRoman" w:start="1"/>
          <w:cols w:space="720" w:num="1"/>
          <w:titlePg/>
          <w:docGrid w:type="lines" w:linePitch="312" w:charSpace="0"/>
        </w:sectPr>
      </w:pPr>
    </w:p>
    <w:p w14:paraId="585CC1CF">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_Toc32427 </w:instrText>
      </w:r>
      <w:r>
        <w:rPr>
          <w:rFonts w:eastAsia="楷体_GB2312"/>
          <w:snapToGrid w:val="0"/>
          <w:szCs w:val="30"/>
        </w:rPr>
        <w:fldChar w:fldCharType="separate"/>
      </w:r>
      <w:r>
        <w:rPr>
          <w:rFonts w:hint="eastAsia" w:ascii="仿宋_GB2312" w:hAnsi="仿宋_GB2312" w:cs="仿宋_GB2312"/>
          <w:bCs/>
          <w:lang w:bidi="zh-CN"/>
        </w:rPr>
        <w:t>（五）东部产业园片区：产城一体居住组团</w:t>
      </w:r>
      <w:r>
        <w:tab/>
      </w:r>
      <w:r>
        <w:fldChar w:fldCharType="begin"/>
      </w:r>
      <w:r>
        <w:instrText xml:space="preserve"> PAGEREF _Toc32427 \h </w:instrText>
      </w:r>
      <w:r>
        <w:fldChar w:fldCharType="separate"/>
      </w:r>
      <w:r>
        <w:t>20</w:t>
      </w:r>
      <w:r>
        <w:fldChar w:fldCharType="end"/>
      </w:r>
      <w:r>
        <w:rPr>
          <w:rFonts w:eastAsia="楷体_GB2312"/>
          <w:snapToGrid w:val="0"/>
          <w:szCs w:val="30"/>
        </w:rPr>
        <w:fldChar w:fldCharType="end"/>
      </w:r>
    </w:p>
    <w:p w14:paraId="3BF77B6B">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_Toc16116 </w:instrText>
      </w:r>
      <w:r>
        <w:rPr>
          <w:rFonts w:eastAsia="楷体_GB2312"/>
          <w:snapToGrid w:val="0"/>
          <w:szCs w:val="30"/>
        </w:rPr>
        <w:fldChar w:fldCharType="separate"/>
      </w:r>
      <w:r>
        <w:rPr>
          <w:rFonts w:hint="eastAsia" w:ascii="仿宋_GB2312" w:hAnsi="仿宋_GB2312" w:cs="仿宋_GB2312"/>
          <w:bCs/>
          <w:lang w:bidi="zh-CN"/>
        </w:rPr>
        <w:t>（六）东南临深片区：城际融合居住组团</w:t>
      </w:r>
      <w:r>
        <w:tab/>
      </w:r>
      <w:r>
        <w:fldChar w:fldCharType="begin"/>
      </w:r>
      <w:r>
        <w:instrText xml:space="preserve"> PAGEREF _Toc16116 \h </w:instrText>
      </w:r>
      <w:r>
        <w:fldChar w:fldCharType="separate"/>
      </w:r>
      <w:r>
        <w:t>20</w:t>
      </w:r>
      <w:r>
        <w:fldChar w:fldCharType="end"/>
      </w:r>
      <w:r>
        <w:rPr>
          <w:rFonts w:eastAsia="楷体_GB2312"/>
          <w:snapToGrid w:val="0"/>
          <w:szCs w:val="30"/>
        </w:rPr>
        <w:fldChar w:fldCharType="end"/>
      </w:r>
    </w:p>
    <w:p w14:paraId="14EE8F87">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_Toc18289 </w:instrText>
      </w:r>
      <w:r>
        <w:rPr>
          <w:rFonts w:eastAsia="楷体_GB2312"/>
          <w:snapToGrid w:val="0"/>
          <w:szCs w:val="30"/>
        </w:rPr>
        <w:fldChar w:fldCharType="separate"/>
      </w:r>
      <w:r>
        <w:t>五、要素联动</w:t>
      </w:r>
      <w:r>
        <w:tab/>
      </w:r>
      <w:r>
        <w:fldChar w:fldCharType="begin"/>
      </w:r>
      <w:r>
        <w:instrText xml:space="preserve"> PAGEREF _Toc18289 \h </w:instrText>
      </w:r>
      <w:r>
        <w:fldChar w:fldCharType="separate"/>
      </w:r>
      <w:r>
        <w:t>20</w:t>
      </w:r>
      <w:r>
        <w:fldChar w:fldCharType="end"/>
      </w:r>
      <w:r>
        <w:rPr>
          <w:rFonts w:eastAsia="楷体_GB2312"/>
          <w:snapToGrid w:val="0"/>
          <w:szCs w:val="30"/>
        </w:rPr>
        <w:fldChar w:fldCharType="end"/>
      </w:r>
    </w:p>
    <w:p w14:paraId="6E04420D">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_Toc25504 </w:instrText>
      </w:r>
      <w:r>
        <w:rPr>
          <w:rFonts w:eastAsia="楷体_GB2312"/>
          <w:snapToGrid w:val="0"/>
          <w:szCs w:val="30"/>
        </w:rPr>
        <w:fldChar w:fldCharType="separate"/>
      </w:r>
      <w:r>
        <w:rPr>
          <w:rFonts w:hint="eastAsia" w:ascii="仿宋_GB2312" w:hAnsi="仿宋_GB2312" w:eastAsia="仿宋_GB2312" w:cs="仿宋_GB2312"/>
          <w:bCs/>
          <w:szCs w:val="36"/>
        </w:rPr>
        <w:t>（一）优化用地供应机制</w:t>
      </w:r>
      <w:r>
        <w:tab/>
      </w:r>
      <w:r>
        <w:fldChar w:fldCharType="begin"/>
      </w:r>
      <w:r>
        <w:instrText xml:space="preserve"> PAGEREF _Toc25504 \h </w:instrText>
      </w:r>
      <w:r>
        <w:fldChar w:fldCharType="separate"/>
      </w:r>
      <w:r>
        <w:t>20</w:t>
      </w:r>
      <w:r>
        <w:fldChar w:fldCharType="end"/>
      </w:r>
      <w:r>
        <w:rPr>
          <w:rFonts w:eastAsia="楷体_GB2312"/>
          <w:snapToGrid w:val="0"/>
          <w:szCs w:val="30"/>
        </w:rPr>
        <w:fldChar w:fldCharType="end"/>
      </w:r>
    </w:p>
    <w:p w14:paraId="6F7922FF">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_Toc30992 </w:instrText>
      </w:r>
      <w:r>
        <w:rPr>
          <w:rFonts w:eastAsia="楷体_GB2312"/>
          <w:snapToGrid w:val="0"/>
          <w:szCs w:val="30"/>
        </w:rPr>
        <w:fldChar w:fldCharType="separate"/>
      </w:r>
      <w:r>
        <w:rPr>
          <w:rFonts w:hint="eastAsia" w:ascii="仿宋_GB2312" w:hAnsi="仿宋_GB2312" w:eastAsia="仿宋_GB2312" w:cs="仿宋_GB2312"/>
          <w:bCs/>
          <w:szCs w:val="36"/>
        </w:rPr>
        <w:t>（二）完善资金保障机制</w:t>
      </w:r>
      <w:r>
        <w:tab/>
      </w:r>
      <w:r>
        <w:fldChar w:fldCharType="begin"/>
      </w:r>
      <w:r>
        <w:instrText xml:space="preserve"> PAGEREF _Toc30992 \h </w:instrText>
      </w:r>
      <w:r>
        <w:fldChar w:fldCharType="separate"/>
      </w:r>
      <w:r>
        <w:t>21</w:t>
      </w:r>
      <w:r>
        <w:fldChar w:fldCharType="end"/>
      </w:r>
      <w:r>
        <w:rPr>
          <w:rFonts w:eastAsia="楷体_GB2312"/>
          <w:snapToGrid w:val="0"/>
          <w:szCs w:val="30"/>
        </w:rPr>
        <w:fldChar w:fldCharType="end"/>
      </w:r>
    </w:p>
    <w:p w14:paraId="137CCDEF">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_Toc6647 </w:instrText>
      </w:r>
      <w:r>
        <w:rPr>
          <w:rFonts w:eastAsia="楷体_GB2312"/>
          <w:snapToGrid w:val="0"/>
          <w:szCs w:val="30"/>
        </w:rPr>
        <w:fldChar w:fldCharType="separate"/>
      </w:r>
      <w:r>
        <w:t>六、规划实施保障措施</w:t>
      </w:r>
      <w:r>
        <w:tab/>
      </w:r>
      <w:r>
        <w:fldChar w:fldCharType="begin"/>
      </w:r>
      <w:r>
        <w:instrText xml:space="preserve"> PAGEREF _Toc6647 \h </w:instrText>
      </w:r>
      <w:r>
        <w:fldChar w:fldCharType="separate"/>
      </w:r>
      <w:r>
        <w:t>22</w:t>
      </w:r>
      <w:r>
        <w:fldChar w:fldCharType="end"/>
      </w:r>
      <w:r>
        <w:rPr>
          <w:rFonts w:eastAsia="楷体_GB2312"/>
          <w:snapToGrid w:val="0"/>
          <w:szCs w:val="30"/>
        </w:rPr>
        <w:fldChar w:fldCharType="end"/>
      </w:r>
    </w:p>
    <w:p w14:paraId="3E593FB7">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_Toc30225 </w:instrText>
      </w:r>
      <w:r>
        <w:rPr>
          <w:rFonts w:eastAsia="楷体_GB2312"/>
          <w:snapToGrid w:val="0"/>
          <w:szCs w:val="30"/>
        </w:rPr>
        <w:fldChar w:fldCharType="separate"/>
      </w:r>
      <w:r>
        <w:rPr>
          <w:rFonts w:hint="eastAsia" w:ascii="仿宋_GB2312" w:hAnsi="仿宋_GB2312" w:eastAsia="仿宋_GB2312" w:cs="仿宋_GB2312"/>
          <w:bCs/>
        </w:rPr>
        <w:t>（一）加强组织协调，夯实属地责任</w:t>
      </w:r>
      <w:r>
        <w:tab/>
      </w:r>
      <w:r>
        <w:fldChar w:fldCharType="begin"/>
      </w:r>
      <w:r>
        <w:instrText xml:space="preserve"> PAGEREF _Toc30225 \h </w:instrText>
      </w:r>
      <w:r>
        <w:fldChar w:fldCharType="separate"/>
      </w:r>
      <w:r>
        <w:t>22</w:t>
      </w:r>
      <w:r>
        <w:fldChar w:fldCharType="end"/>
      </w:r>
      <w:r>
        <w:rPr>
          <w:rFonts w:eastAsia="楷体_GB2312"/>
          <w:snapToGrid w:val="0"/>
          <w:szCs w:val="30"/>
        </w:rPr>
        <w:fldChar w:fldCharType="end"/>
      </w:r>
    </w:p>
    <w:p w14:paraId="17FAB2EC">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_Toc15878 </w:instrText>
      </w:r>
      <w:r>
        <w:rPr>
          <w:rFonts w:eastAsia="楷体_GB2312"/>
          <w:snapToGrid w:val="0"/>
          <w:szCs w:val="30"/>
        </w:rPr>
        <w:fldChar w:fldCharType="separate"/>
      </w:r>
      <w:r>
        <w:rPr>
          <w:rFonts w:hint="eastAsia" w:ascii="仿宋_GB2312" w:hAnsi="仿宋_GB2312" w:eastAsia="仿宋_GB2312" w:cs="仿宋_GB2312"/>
          <w:bCs/>
        </w:rPr>
        <w:t>（二）编制年度计划，实施中期评估</w:t>
      </w:r>
      <w:r>
        <w:tab/>
      </w:r>
      <w:r>
        <w:fldChar w:fldCharType="begin"/>
      </w:r>
      <w:r>
        <w:instrText xml:space="preserve"> PAGEREF _Toc15878 \h </w:instrText>
      </w:r>
      <w:r>
        <w:fldChar w:fldCharType="separate"/>
      </w:r>
      <w:r>
        <w:t>22</w:t>
      </w:r>
      <w:r>
        <w:fldChar w:fldCharType="end"/>
      </w:r>
      <w:r>
        <w:rPr>
          <w:rFonts w:eastAsia="楷体_GB2312"/>
          <w:snapToGrid w:val="0"/>
          <w:szCs w:val="30"/>
        </w:rPr>
        <w:fldChar w:fldCharType="end"/>
      </w:r>
    </w:p>
    <w:p w14:paraId="12E75E87">
      <w:pPr>
        <w:pStyle w:val="23"/>
        <w:tabs>
          <w:tab w:val="right" w:leader="dot" w:pos="8845"/>
        </w:tabs>
        <w:spacing w:after="0"/>
        <w:ind w:left="640"/>
      </w:pPr>
      <w:r>
        <w:rPr>
          <w:rFonts w:eastAsia="楷体_GB2312"/>
          <w:snapToGrid w:val="0"/>
          <w:szCs w:val="30"/>
        </w:rPr>
        <w:fldChar w:fldCharType="begin"/>
      </w:r>
      <w:r>
        <w:rPr>
          <w:rFonts w:eastAsia="楷体_GB2312"/>
          <w:snapToGrid w:val="0"/>
          <w:szCs w:val="30"/>
        </w:rPr>
        <w:instrText xml:space="preserve"> HYPERLINK \l _Toc18248 </w:instrText>
      </w:r>
      <w:r>
        <w:rPr>
          <w:rFonts w:eastAsia="楷体_GB2312"/>
          <w:snapToGrid w:val="0"/>
          <w:szCs w:val="30"/>
        </w:rPr>
        <w:fldChar w:fldCharType="separate"/>
      </w:r>
      <w:r>
        <w:rPr>
          <w:rFonts w:hint="eastAsia" w:ascii="仿宋_GB2312" w:hAnsi="仿宋_GB2312" w:eastAsia="仿宋_GB2312" w:cs="仿宋_GB2312"/>
          <w:bCs/>
        </w:rPr>
        <w:t>（三）加强公众参与，引导公众监督</w:t>
      </w:r>
      <w:r>
        <w:tab/>
      </w:r>
      <w:r>
        <w:fldChar w:fldCharType="begin"/>
      </w:r>
      <w:r>
        <w:instrText xml:space="preserve"> PAGEREF _Toc18248 \h </w:instrText>
      </w:r>
      <w:r>
        <w:fldChar w:fldCharType="separate"/>
      </w:r>
      <w:r>
        <w:t>22</w:t>
      </w:r>
      <w:r>
        <w:fldChar w:fldCharType="end"/>
      </w:r>
      <w:r>
        <w:rPr>
          <w:rFonts w:eastAsia="楷体_GB2312"/>
          <w:snapToGrid w:val="0"/>
          <w:szCs w:val="30"/>
        </w:rPr>
        <w:fldChar w:fldCharType="end"/>
      </w:r>
    </w:p>
    <w:p w14:paraId="4DAF0D46">
      <w:pPr>
        <w:pStyle w:val="20"/>
        <w:tabs>
          <w:tab w:val="right" w:leader="dot" w:pos="8845"/>
        </w:tabs>
        <w:spacing w:after="0"/>
      </w:pPr>
      <w:r>
        <w:rPr>
          <w:rFonts w:eastAsia="楷体_GB2312"/>
          <w:snapToGrid w:val="0"/>
          <w:szCs w:val="30"/>
        </w:rPr>
        <w:fldChar w:fldCharType="begin"/>
      </w:r>
      <w:r>
        <w:rPr>
          <w:rFonts w:eastAsia="楷体_GB2312"/>
          <w:snapToGrid w:val="0"/>
          <w:szCs w:val="30"/>
        </w:rPr>
        <w:instrText xml:space="preserve"> HYPERLINK \l _Toc26190 </w:instrText>
      </w:r>
      <w:r>
        <w:rPr>
          <w:rFonts w:eastAsia="楷体_GB2312"/>
          <w:snapToGrid w:val="0"/>
          <w:szCs w:val="30"/>
        </w:rPr>
        <w:fldChar w:fldCharType="separate"/>
      </w:r>
      <w:r>
        <w:t>附表</w:t>
      </w:r>
      <w:r>
        <w:tab/>
      </w:r>
      <w:r>
        <w:fldChar w:fldCharType="begin"/>
      </w:r>
      <w:r>
        <w:instrText xml:space="preserve"> PAGEREF _Toc26190 \h </w:instrText>
      </w:r>
      <w:r>
        <w:fldChar w:fldCharType="separate"/>
      </w:r>
      <w:r>
        <w:t>24</w:t>
      </w:r>
      <w:r>
        <w:fldChar w:fldCharType="end"/>
      </w:r>
      <w:r>
        <w:rPr>
          <w:rFonts w:eastAsia="楷体_GB2312"/>
          <w:snapToGrid w:val="0"/>
          <w:szCs w:val="30"/>
        </w:rPr>
        <w:fldChar w:fldCharType="end"/>
      </w:r>
    </w:p>
    <w:p w14:paraId="2B5E9230">
      <w:pPr>
        <w:overflowPunct w:val="0"/>
        <w:adjustRightInd w:val="0"/>
        <w:snapToGrid w:val="0"/>
        <w:spacing w:after="0" w:line="360" w:lineRule="auto"/>
        <w:rPr>
          <w:sz w:val="30"/>
          <w:szCs w:val="30"/>
        </w:rPr>
        <w:sectPr>
          <w:footerReference r:id="rId11" w:type="first"/>
          <w:footerReference r:id="rId10" w:type="default"/>
          <w:footnotePr>
            <w:numFmt w:val="decimalEnclosedCircleChinese"/>
          </w:footnotePr>
          <w:pgSz w:w="11906" w:h="16838"/>
          <w:pgMar w:top="2098" w:right="1474" w:bottom="1984" w:left="1587" w:header="851" w:footer="992" w:gutter="0"/>
          <w:pgNumType w:fmt="upperRoman" w:start="1"/>
          <w:cols w:space="720" w:num="1"/>
          <w:docGrid w:type="lines" w:linePitch="312" w:charSpace="0"/>
        </w:sectPr>
      </w:pPr>
      <w:r>
        <w:rPr>
          <w:rFonts w:eastAsia="楷体_GB2312"/>
          <w:snapToGrid w:val="0"/>
          <w:szCs w:val="30"/>
        </w:rPr>
        <w:fldChar w:fldCharType="end"/>
      </w:r>
    </w:p>
    <w:p w14:paraId="68DA6DE2">
      <w:pPr>
        <w:ind w:firstLine="614"/>
        <w:rPr>
          <w:rFonts w:eastAsia="仿宋"/>
          <w:sz w:val="33"/>
          <w:szCs w:val="33"/>
        </w:rPr>
      </w:pPr>
      <w:bookmarkStart w:id="7" w:name="_Toc29833"/>
      <w:bookmarkStart w:id="8" w:name="_Toc196259727"/>
      <w:bookmarkStart w:id="9" w:name="OLE_LINK1"/>
      <w:r>
        <w:rPr>
          <w:rFonts w:hint="eastAsia"/>
          <w:spacing w:val="0"/>
          <w:szCs w:val="32"/>
        </w:rPr>
        <w:t>为加快构建房地产发展新模式，推动房地产高质量发展，</w:t>
      </w:r>
      <w:r>
        <w:rPr>
          <w:rFonts w:hint="eastAsia"/>
          <w:szCs w:val="32"/>
        </w:rPr>
        <w:t>根据国家、省、市</w:t>
      </w:r>
      <w:r>
        <w:rPr>
          <w:rFonts w:hint="eastAsia"/>
          <w:spacing w:val="0"/>
          <w:szCs w:val="32"/>
        </w:rPr>
        <w:t>国民经济和社会发展第十五个五年规划纲要，结合东莞市实际，编制本规划。本规划主要阐明“十五五”时期我市住房发展的总体要求，明确主要任务和政策措施，是指导全市住房发展、引导相关资源配置的重要依据。</w:t>
      </w:r>
      <w:bookmarkStart w:id="10" w:name="_Toc15390"/>
      <w:bookmarkStart w:id="11" w:name="_Toc226725723"/>
      <w:bookmarkStart w:id="12" w:name="_Toc196259724"/>
    </w:p>
    <w:p w14:paraId="64E4FD4A">
      <w:pPr>
        <w:spacing w:after="0" w:line="360" w:lineRule="auto"/>
        <w:ind w:firstLine="640" w:firstLineChars="200"/>
        <w:outlineLvl w:val="0"/>
        <w:rPr>
          <w:rFonts w:eastAsia="黑体"/>
        </w:rPr>
      </w:pPr>
      <w:bookmarkStart w:id="13" w:name="_Toc17513"/>
      <w:r>
        <w:rPr>
          <w:rFonts w:eastAsia="黑体"/>
        </w:rPr>
        <w:t>一、发展基础</w:t>
      </w:r>
      <w:bookmarkEnd w:id="10"/>
      <w:bookmarkEnd w:id="11"/>
      <w:bookmarkEnd w:id="12"/>
      <w:bookmarkEnd w:id="13"/>
    </w:p>
    <w:p w14:paraId="6A466F4C">
      <w:pPr>
        <w:spacing w:after="0" w:line="360" w:lineRule="auto"/>
        <w:ind w:firstLine="640" w:firstLineChars="200"/>
        <w:outlineLvl w:val="1"/>
        <w:rPr>
          <w:rFonts w:eastAsia="楷体_GB2312"/>
          <w:bCs/>
        </w:rPr>
      </w:pPr>
      <w:bookmarkStart w:id="14" w:name="_Toc335"/>
      <w:bookmarkStart w:id="15" w:name="_Toc226725724"/>
      <w:r>
        <w:rPr>
          <w:rFonts w:eastAsia="楷体_GB2312"/>
          <w:bCs/>
        </w:rPr>
        <w:t>（一）发展成效</w:t>
      </w:r>
      <w:bookmarkEnd w:id="14"/>
      <w:bookmarkEnd w:id="15"/>
    </w:p>
    <w:p w14:paraId="4DDCF480">
      <w:pPr>
        <w:spacing w:after="0" w:line="360" w:lineRule="auto"/>
        <w:ind w:firstLine="643" w:firstLineChars="200"/>
        <w:outlineLvl w:val="2"/>
        <w:rPr>
          <w:b/>
          <w:szCs w:val="32"/>
          <w:lang w:val="zh-CN" w:bidi="zh-CN"/>
        </w:rPr>
      </w:pPr>
      <w:r>
        <w:rPr>
          <w:b/>
          <w:szCs w:val="32"/>
          <w:lang w:bidi="zh-CN"/>
        </w:rPr>
        <w:t>1</w:t>
      </w:r>
      <w:r>
        <w:rPr>
          <w:b/>
          <w:szCs w:val="32"/>
          <w:lang w:val="zh-CN" w:bidi="zh-CN"/>
        </w:rPr>
        <w:t>.住房规模总体充裕</w:t>
      </w:r>
      <w:r>
        <w:rPr>
          <w:b/>
          <w:szCs w:val="32"/>
          <w:lang w:bidi="zh-CN"/>
        </w:rPr>
        <w:t>，居民住房条件持续改善</w:t>
      </w:r>
    </w:p>
    <w:p w14:paraId="693EB1F9">
      <w:pPr>
        <w:spacing w:after="0" w:line="360" w:lineRule="auto"/>
        <w:ind w:firstLine="640" w:firstLineChars="200"/>
      </w:pPr>
      <w:bookmarkStart w:id="16" w:name="_Hlk197896134"/>
      <w:r>
        <w:t>全市住房建筑面积约6.3亿平方米，城镇家庭户人均住房建筑面积约28平方米。</w:t>
      </w:r>
      <w:r>
        <w:rPr>
          <w:rFonts w:ascii="仿宋_GB2312" w:hAnsi="仿宋_GB2312" w:cs="仿宋_GB2312"/>
        </w:rPr>
        <w:t>“</w:t>
      </w:r>
      <w:r>
        <w:t>十四五</w:t>
      </w:r>
      <w:r>
        <w:rPr>
          <w:rFonts w:ascii="仿宋_GB2312" w:hAnsi="仿宋_GB2312" w:cs="仿宋_GB2312"/>
        </w:rPr>
        <w:t>”</w:t>
      </w:r>
      <w:r>
        <w:t>期间，全市新开工商品住房11.79万套，批准预售新建商品住房12.18万套，新增建设筹集保障性住房11.94万套（间）。</w:t>
      </w:r>
    </w:p>
    <w:bookmarkEnd w:id="16"/>
    <w:p w14:paraId="6FC4CEFD">
      <w:pPr>
        <w:spacing w:after="0" w:line="360" w:lineRule="auto"/>
        <w:ind w:firstLine="643" w:firstLineChars="200"/>
        <w:outlineLvl w:val="2"/>
        <w:rPr>
          <w:b/>
          <w:szCs w:val="32"/>
          <w:lang w:bidi="zh-CN"/>
        </w:rPr>
      </w:pPr>
      <w:bookmarkStart w:id="17" w:name="_Toc161056277"/>
      <w:r>
        <w:rPr>
          <w:b/>
          <w:szCs w:val="32"/>
          <w:lang w:bidi="zh-CN"/>
        </w:rPr>
        <w:t>2.住房保障体系不断完善</w:t>
      </w:r>
      <w:r>
        <w:rPr>
          <w:b/>
          <w:szCs w:val="32"/>
          <w:lang w:val="zh-CN" w:bidi="zh-CN"/>
        </w:rPr>
        <w:t>，</w:t>
      </w:r>
      <w:r>
        <w:rPr>
          <w:b/>
          <w:szCs w:val="32"/>
          <w:lang w:bidi="zh-CN"/>
        </w:rPr>
        <w:t>保障水平显著提升</w:t>
      </w:r>
    </w:p>
    <w:p w14:paraId="5D539836">
      <w:pPr>
        <w:spacing w:after="0" w:line="360" w:lineRule="auto"/>
        <w:ind w:firstLine="640" w:firstLineChars="200"/>
        <w:rPr>
          <w:b/>
          <w:bCs/>
        </w:rPr>
      </w:pPr>
      <w:r>
        <w:rPr>
          <w:rFonts w:ascii="仿宋_GB2312" w:hAnsi="仿宋_GB2312" w:cs="仿宋_GB2312"/>
        </w:rPr>
        <w:t>“</w:t>
      </w:r>
      <w:r>
        <w:t>十四五</w:t>
      </w:r>
      <w:r>
        <w:rPr>
          <w:rFonts w:ascii="仿宋_GB2312" w:hAnsi="仿宋_GB2312" w:cs="仿宋_GB2312"/>
        </w:rPr>
        <w:t>”</w:t>
      </w:r>
      <w:r>
        <w:t>期间，全市建设筹集公租房5177套、保障性租赁住房</w:t>
      </w:r>
      <w:r>
        <w:rPr>
          <w:bCs/>
          <w:szCs w:val="32"/>
        </w:rPr>
        <w:t>10.43万套（间）、</w:t>
      </w:r>
      <w:r>
        <w:t>共有产权住房5711套、配售型保障性住房4201套，累计发放租赁补贴10916户，</w:t>
      </w:r>
      <w:r>
        <w:rPr>
          <w:szCs w:val="32"/>
        </w:rPr>
        <w:t>完成城市危旧房改造124套，</w:t>
      </w:r>
      <w:r>
        <w:t>多元化保障新市民、青年人、工薪群体等城镇住房困难家庭住房需求。向租住市属住房的人才发放补贴4043.5万元、惠及人才5950人，人才安居水平有效提升。</w:t>
      </w:r>
    </w:p>
    <w:bookmarkEnd w:id="17"/>
    <w:p w14:paraId="49F4917D">
      <w:pPr>
        <w:spacing w:after="0" w:line="360" w:lineRule="auto"/>
        <w:ind w:firstLine="643" w:firstLineChars="200"/>
        <w:outlineLvl w:val="2"/>
        <w:rPr>
          <w:b/>
          <w:szCs w:val="32"/>
          <w:lang w:bidi="zh-CN"/>
        </w:rPr>
      </w:pPr>
      <w:r>
        <w:rPr>
          <w:b/>
          <w:szCs w:val="32"/>
          <w:lang w:bidi="zh-CN"/>
        </w:rPr>
        <w:t>3</w:t>
      </w:r>
      <w:r>
        <w:rPr>
          <w:b/>
          <w:szCs w:val="32"/>
          <w:lang w:val="zh-CN" w:bidi="zh-CN"/>
        </w:rPr>
        <w:t>.</w:t>
      </w:r>
      <w:r>
        <w:rPr>
          <w:b/>
          <w:szCs w:val="32"/>
          <w:lang w:bidi="zh-CN"/>
        </w:rPr>
        <w:t>房地产政策适时优化，风险化解成效显著</w:t>
      </w:r>
    </w:p>
    <w:p w14:paraId="1DD1719E">
      <w:pPr>
        <w:spacing w:after="0" w:line="360" w:lineRule="auto"/>
        <w:ind w:firstLine="640" w:firstLineChars="200"/>
      </w:pPr>
      <w:r>
        <w:t>积极出台销售、金融、财税、土地等房地产政策，提振市场信心，</w:t>
      </w:r>
      <w:r>
        <w:rPr>
          <w:rFonts w:ascii="仿宋_GB2312" w:hAnsi="仿宋_GB2312" w:cs="仿宋_GB2312"/>
        </w:rPr>
        <w:t>“</w:t>
      </w:r>
      <w:r>
        <w:t>十四五</w:t>
      </w:r>
      <w:r>
        <w:rPr>
          <w:rFonts w:ascii="仿宋_GB2312" w:hAnsi="仿宋_GB2312" w:cs="仿宋_GB2312"/>
        </w:rPr>
        <w:t>”</w:t>
      </w:r>
      <w:r>
        <w:t>期间累计销售新建商品住房13.94万套。全市纳入</w:t>
      </w:r>
      <w:r>
        <w:rPr>
          <w:szCs w:val="40"/>
        </w:rPr>
        <w:t>房地产融资协调机制</w:t>
      </w:r>
      <w:r>
        <w:rPr>
          <w:rFonts w:hint="eastAsia"/>
          <w:szCs w:val="40"/>
        </w:rPr>
        <w:t>“</w:t>
      </w:r>
      <w:r>
        <w:t>白名单</w:t>
      </w:r>
      <w:r>
        <w:rPr>
          <w:rFonts w:hint="eastAsia"/>
          <w:szCs w:val="40"/>
        </w:rPr>
        <w:t>”</w:t>
      </w:r>
      <w:r>
        <w:t>项目96个，授信金额748.49亿元，资金覆盖率超100%。全市17个保交房项目已全部交付，头部出险房企在莞情况整体风险可控，房地产领域的涉稳风险及信访量逐年下降。形成房屋租金参考价格评估体系，推广房屋租赁合同范本，租赁市场秩序日益规范。</w:t>
      </w:r>
    </w:p>
    <w:p w14:paraId="52C4A312">
      <w:pPr>
        <w:spacing w:after="0" w:line="360" w:lineRule="auto"/>
        <w:ind w:firstLine="643" w:firstLineChars="200"/>
        <w:rPr>
          <w:b/>
          <w:szCs w:val="32"/>
          <w:lang w:bidi="zh-CN"/>
        </w:rPr>
      </w:pPr>
      <w:r>
        <w:rPr>
          <w:b/>
          <w:szCs w:val="32"/>
          <w:lang w:bidi="zh-CN"/>
        </w:rPr>
        <w:t>4.住房公积金政策持续优化，支持力度有效加大</w:t>
      </w:r>
    </w:p>
    <w:p w14:paraId="51A858E0">
      <w:pPr>
        <w:spacing w:after="0" w:line="360" w:lineRule="auto"/>
        <w:ind w:firstLine="640" w:firstLineChars="200"/>
        <w:rPr>
          <w:szCs w:val="32"/>
        </w:rPr>
      </w:pPr>
      <w:r>
        <w:rPr>
          <w:szCs w:val="32"/>
        </w:rPr>
        <w:t>通过提高贷款额度、取消异地贷款户籍限制、支持提取住房公积金支付首付款等措施，加大住房消费支持力度。</w:t>
      </w:r>
      <w:r>
        <w:rPr>
          <w:rFonts w:hint="eastAsia"/>
          <w:szCs w:val="32"/>
        </w:rPr>
        <w:t>“十四五”期间，归集业务持续扩容，缴存人数从2020年的187.77万人发展到2025年的240.90万人，增幅28%；缴存单位从6.54万家发展到9.83万家，增幅50%；归集总额达到2266.35亿元，增幅94%。累计提取公积金720.53亿元，发放贷款4.65万笔、376.68亿元，节省职工利息支出约78亿元，有力支持职工住房消费。</w:t>
      </w:r>
    </w:p>
    <w:p w14:paraId="1AFB11BE">
      <w:pPr>
        <w:spacing w:after="0" w:line="360" w:lineRule="auto"/>
        <w:ind w:firstLine="643" w:firstLineChars="200"/>
        <w:outlineLvl w:val="2"/>
        <w:rPr>
          <w:b/>
          <w:szCs w:val="32"/>
          <w:lang w:bidi="zh-CN"/>
        </w:rPr>
      </w:pPr>
      <w:r>
        <w:rPr>
          <w:b/>
          <w:szCs w:val="32"/>
          <w:lang w:bidi="zh-CN"/>
        </w:rPr>
        <w:t>5.城市更新扎实推进，</w:t>
      </w:r>
      <w:r>
        <w:rPr>
          <w:rFonts w:hint="eastAsia"/>
          <w:b/>
          <w:szCs w:val="32"/>
          <w:lang w:bidi="zh-CN"/>
        </w:rPr>
        <w:t>改造整治工作全面有序铺开</w:t>
      </w:r>
    </w:p>
    <w:p w14:paraId="68DFF737">
      <w:pPr>
        <w:spacing w:after="0" w:line="360" w:lineRule="auto"/>
        <w:ind w:firstLine="640" w:firstLineChars="200"/>
      </w:pPr>
      <w:r>
        <w:rPr>
          <w:szCs w:val="32"/>
        </w:rPr>
        <w:t>实</w:t>
      </w:r>
      <w:r>
        <w:t>施市城中村改造条例，从立法层面进一步规范城中村改造工作。</w:t>
      </w:r>
      <w:r>
        <w:rPr>
          <w:rFonts w:ascii="仿宋_GB2312" w:hAnsi="仿宋_GB2312" w:cs="仿宋_GB2312"/>
        </w:rPr>
        <w:t>“</w:t>
      </w:r>
      <w:r>
        <w:t>十四五</w:t>
      </w:r>
      <w:r>
        <w:rPr>
          <w:rFonts w:ascii="仿宋_GB2312" w:hAnsi="仿宋_GB2312" w:cs="仿宋_GB2312"/>
        </w:rPr>
        <w:t>”</w:t>
      </w:r>
      <w:r>
        <w:t>期间，全市启动城中村改造整治提升类项目共75个，推进拆除新建类城中村改造项目（居住方向）8个。</w:t>
      </w:r>
      <w:r>
        <w:rPr>
          <w:kern w:val="0"/>
          <w:szCs w:val="32"/>
        </w:rPr>
        <w:t>纳入市老旧小区改造计划任务的</w:t>
      </w:r>
      <w:r>
        <w:rPr>
          <w:rFonts w:hint="eastAsia"/>
          <w:kern w:val="0"/>
          <w:szCs w:val="32"/>
        </w:rPr>
        <w:t>153个小区</w:t>
      </w:r>
      <w:r>
        <w:rPr>
          <w:kern w:val="0"/>
          <w:szCs w:val="32"/>
        </w:rPr>
        <w:t>已全部</w:t>
      </w:r>
      <w:r>
        <w:rPr>
          <w:rFonts w:hint="eastAsia"/>
          <w:kern w:val="0"/>
          <w:szCs w:val="32"/>
        </w:rPr>
        <w:t>开工</w:t>
      </w:r>
      <w:r>
        <w:rPr>
          <w:kern w:val="0"/>
          <w:szCs w:val="32"/>
        </w:rPr>
        <w:t>改造。完成3个完整社区建设试点，其中</w:t>
      </w:r>
      <w:r>
        <w:t>南城新城社区入选国家试点名单。</w:t>
      </w:r>
    </w:p>
    <w:p w14:paraId="7C250C58">
      <w:pPr>
        <w:spacing w:after="0" w:line="360" w:lineRule="auto"/>
        <w:ind w:firstLine="643" w:firstLineChars="200"/>
        <w:outlineLvl w:val="2"/>
        <w:rPr>
          <w:b/>
          <w:szCs w:val="32"/>
          <w:lang w:bidi="zh-CN"/>
        </w:rPr>
      </w:pPr>
      <w:r>
        <w:rPr>
          <w:b/>
          <w:szCs w:val="32"/>
          <w:lang w:bidi="zh-CN"/>
        </w:rPr>
        <w:t>6.物业管理制度有效完善，保障各有关主体合法权益</w:t>
      </w:r>
    </w:p>
    <w:p w14:paraId="2B539237">
      <w:pPr>
        <w:spacing w:after="0" w:line="360" w:lineRule="auto"/>
        <w:ind w:firstLine="640" w:firstLineChars="200"/>
      </w:pPr>
      <w:r>
        <w:rPr>
          <w:szCs w:val="32"/>
        </w:rPr>
        <w:t>实施市物业管理条例，构建物业管理制度体系。成立市物业管理行业党委，全市具备条件的1179个住宅小区成立党支部，选出103个党建引领物业管理典型案例</w:t>
      </w:r>
      <w:r>
        <w:rPr>
          <w:rFonts w:hint="eastAsia"/>
          <w:szCs w:val="32"/>
        </w:rPr>
        <w:t>、</w:t>
      </w:r>
      <w:r>
        <w:rPr>
          <w:szCs w:val="32"/>
        </w:rPr>
        <w:t>36个</w:t>
      </w:r>
      <w:r>
        <w:rPr>
          <w:rFonts w:ascii="仿宋_GB2312" w:hAnsi="仿宋_GB2312" w:cs="仿宋_GB2312"/>
          <w:szCs w:val="36"/>
        </w:rPr>
        <w:t>“</w:t>
      </w:r>
      <w:r>
        <w:rPr>
          <w:szCs w:val="32"/>
        </w:rPr>
        <w:t>莞香家园</w:t>
      </w:r>
      <w:r>
        <w:rPr>
          <w:rFonts w:ascii="仿宋_GB2312" w:hAnsi="仿宋_GB2312" w:cs="仿宋_GB2312"/>
          <w:szCs w:val="36"/>
        </w:rPr>
        <w:t>”</w:t>
      </w:r>
      <w:r>
        <w:rPr>
          <w:szCs w:val="32"/>
        </w:rPr>
        <w:t>和30个</w:t>
      </w:r>
      <w:r>
        <w:rPr>
          <w:rFonts w:ascii="仿宋_GB2312" w:hAnsi="仿宋_GB2312" w:cs="仿宋_GB2312"/>
          <w:szCs w:val="36"/>
        </w:rPr>
        <w:t>“</w:t>
      </w:r>
      <w:r>
        <w:rPr>
          <w:szCs w:val="32"/>
        </w:rPr>
        <w:t>美好家园</w:t>
      </w:r>
      <w:r>
        <w:rPr>
          <w:rFonts w:ascii="仿宋_GB2312" w:hAnsi="仿宋_GB2312" w:cs="仿宋_GB2312"/>
          <w:szCs w:val="36"/>
        </w:rPr>
        <w:t>”</w:t>
      </w:r>
      <w:r>
        <w:rPr>
          <w:szCs w:val="32"/>
        </w:rPr>
        <w:t>住宅小区。建设并推广</w:t>
      </w:r>
      <w:r>
        <w:rPr>
          <w:rFonts w:ascii="仿宋_GB2312" w:hAnsi="仿宋_GB2312" w:cs="仿宋_GB2312"/>
          <w:szCs w:val="36"/>
        </w:rPr>
        <w:t>“</w:t>
      </w:r>
      <w:r>
        <w:rPr>
          <w:szCs w:val="32"/>
        </w:rPr>
        <w:t>电子投票平台</w:t>
      </w:r>
      <w:r>
        <w:rPr>
          <w:rFonts w:ascii="仿宋_GB2312" w:hAnsi="仿宋_GB2312" w:cs="仿宋_GB2312"/>
          <w:szCs w:val="36"/>
        </w:rPr>
        <w:t>”</w:t>
      </w:r>
      <w:r>
        <w:rPr>
          <w:szCs w:val="32"/>
        </w:rPr>
        <w:t>和</w:t>
      </w:r>
      <w:r>
        <w:rPr>
          <w:rFonts w:ascii="仿宋_GB2312" w:hAnsi="仿宋_GB2312" w:cs="仿宋_GB2312"/>
          <w:szCs w:val="36"/>
        </w:rPr>
        <w:t>“</w:t>
      </w:r>
      <w:r>
        <w:rPr>
          <w:szCs w:val="32"/>
        </w:rPr>
        <w:t>重大事项公告平台</w:t>
      </w:r>
      <w:r>
        <w:rPr>
          <w:rFonts w:ascii="仿宋_GB2312" w:hAnsi="仿宋_GB2312" w:cs="仿宋_GB2312"/>
          <w:szCs w:val="36"/>
        </w:rPr>
        <w:t>”</w:t>
      </w:r>
      <w:r>
        <w:rPr>
          <w:szCs w:val="32"/>
        </w:rPr>
        <w:t>，有效破解传统投票效率低、真实性存疑等突出问题。全市1205个有公共收益的小区已全部落实</w:t>
      </w:r>
      <w:r>
        <w:rPr>
          <w:rFonts w:ascii="仿宋_GB2312" w:hAnsi="仿宋_GB2312" w:cs="仿宋_GB2312"/>
          <w:szCs w:val="36"/>
        </w:rPr>
        <w:t>“</w:t>
      </w:r>
      <w:r>
        <w:rPr>
          <w:szCs w:val="32"/>
        </w:rPr>
        <w:t>线上</w:t>
      </w:r>
      <w:r>
        <w:rPr>
          <w:rFonts w:hint="eastAsia" w:ascii="仿宋_GB2312" w:hAnsi="仿宋_GB2312" w:cs="仿宋_GB2312"/>
          <w:szCs w:val="32"/>
        </w:rPr>
        <w:t>+</w:t>
      </w:r>
      <w:r>
        <w:rPr>
          <w:szCs w:val="32"/>
        </w:rPr>
        <w:t>线下</w:t>
      </w:r>
      <w:r>
        <w:rPr>
          <w:rFonts w:ascii="仿宋_GB2312" w:hAnsi="仿宋_GB2312" w:cs="仿宋_GB2312"/>
          <w:szCs w:val="36"/>
        </w:rPr>
        <w:t>”</w:t>
      </w:r>
      <w:r>
        <w:rPr>
          <w:szCs w:val="32"/>
        </w:rPr>
        <w:t>双公示，且开立专项账户。</w:t>
      </w:r>
    </w:p>
    <w:p w14:paraId="04932A8E">
      <w:pPr>
        <w:spacing w:after="0" w:line="360" w:lineRule="auto"/>
        <w:ind w:firstLine="643" w:firstLineChars="200"/>
        <w:outlineLvl w:val="2"/>
        <w:rPr>
          <w:b/>
          <w:szCs w:val="32"/>
          <w:lang w:bidi="zh-CN"/>
        </w:rPr>
      </w:pPr>
      <w:r>
        <w:rPr>
          <w:b/>
          <w:szCs w:val="32"/>
          <w:lang w:bidi="zh-CN"/>
        </w:rPr>
        <w:t>7.住房建设管理制度不断规范，</w:t>
      </w:r>
      <w:r>
        <w:rPr>
          <w:b/>
          <w:szCs w:val="32"/>
        </w:rPr>
        <w:t>住房品质持续提升</w:t>
      </w:r>
    </w:p>
    <w:p w14:paraId="5E26EEF0">
      <w:pPr>
        <w:spacing w:after="0" w:line="360" w:lineRule="auto"/>
        <w:ind w:firstLine="640" w:firstLineChars="200"/>
      </w:pPr>
      <w:r>
        <w:rPr>
          <w:rFonts w:hint="eastAsia"/>
        </w:rPr>
        <w:t>制定</w:t>
      </w:r>
      <w:r>
        <w:t>实施方案，推动房屋安全体检、房屋安全管理资金、房屋安全保险三项制度试点。进一步扩大绿色建筑和装配式建筑的实施范围、提高实施标准</w:t>
      </w:r>
      <w:r>
        <w:rPr>
          <w:rFonts w:hint="eastAsia"/>
          <w:lang w:eastAsia="zh-CN"/>
        </w:rPr>
        <w:t>，</w:t>
      </w:r>
      <w:r>
        <w:rPr>
          <w:rFonts w:ascii="仿宋_GB2312" w:hAnsi="仿宋_GB2312" w:cs="仿宋_GB2312"/>
        </w:rPr>
        <w:t>“</w:t>
      </w:r>
      <w:r>
        <w:t>十四五</w:t>
      </w:r>
      <w:r>
        <w:rPr>
          <w:rFonts w:ascii="仿宋_GB2312" w:hAnsi="仿宋_GB2312" w:cs="仿宋_GB2312"/>
        </w:rPr>
        <w:t>”</w:t>
      </w:r>
      <w:r>
        <w:t>期间，新建居住建筑中星级以上绿色建筑占比为77%</w:t>
      </w:r>
      <w:r>
        <w:rPr>
          <w:rFonts w:hint="eastAsia"/>
        </w:rPr>
        <w:t>、</w:t>
      </w:r>
      <w:r>
        <w:t>装配式建筑占比为55%。</w:t>
      </w:r>
      <w:r>
        <w:rPr>
          <w:bCs/>
          <w:szCs w:val="24"/>
        </w:rPr>
        <w:t>农房报建审批、建设、竣工验收、风貌提升和工程质量安全管理等政策相继完善，</w:t>
      </w:r>
      <w:r>
        <w:rPr>
          <w:szCs w:val="24"/>
        </w:rPr>
        <w:t>建成全市农房建设审批系统，实现全流程网办，上线</w:t>
      </w:r>
      <w:r>
        <w:rPr>
          <w:rFonts w:ascii="仿宋_GB2312" w:hAnsi="仿宋_GB2312" w:cs="仿宋_GB2312"/>
          <w:szCs w:val="36"/>
        </w:rPr>
        <w:t>“</w:t>
      </w:r>
      <w:r>
        <w:rPr>
          <w:szCs w:val="24"/>
        </w:rPr>
        <w:t>农民安居房管理系统</w:t>
      </w:r>
      <w:r>
        <w:rPr>
          <w:rFonts w:ascii="仿宋_GB2312" w:hAnsi="仿宋_GB2312" w:cs="仿宋_GB2312"/>
          <w:szCs w:val="36"/>
        </w:rPr>
        <w:t>”</w:t>
      </w:r>
      <w:r>
        <w:rPr>
          <w:szCs w:val="24"/>
        </w:rPr>
        <w:t>，实现受监农房线上管理。</w:t>
      </w:r>
      <w:r>
        <w:rPr>
          <w:rFonts w:ascii="仿宋_GB2312" w:hAnsi="仿宋_GB2312" w:cs="仿宋_GB2312"/>
          <w:szCs w:val="36"/>
        </w:rPr>
        <w:t>“</w:t>
      </w:r>
      <w:r>
        <w:rPr>
          <w:szCs w:val="24"/>
        </w:rPr>
        <w:t>十四五</w:t>
      </w:r>
      <w:r>
        <w:rPr>
          <w:rFonts w:ascii="仿宋_GB2312" w:hAnsi="仿宋_GB2312" w:cs="仿宋_GB2312"/>
          <w:szCs w:val="36"/>
        </w:rPr>
        <w:t>”</w:t>
      </w:r>
      <w:r>
        <w:rPr>
          <w:szCs w:val="24"/>
        </w:rPr>
        <w:t>期间，全市通过农房报建共2.5万宗。</w:t>
      </w:r>
    </w:p>
    <w:p w14:paraId="30F33CDE">
      <w:pPr>
        <w:spacing w:after="0" w:line="360" w:lineRule="auto"/>
        <w:ind w:firstLine="640" w:firstLineChars="200"/>
      </w:pPr>
      <w:r>
        <w:rPr>
          <w:rFonts w:ascii="仿宋_GB2312" w:hAnsi="仿宋_GB2312" w:cs="仿宋_GB2312"/>
        </w:rPr>
        <w:t>“</w:t>
      </w:r>
      <w:r>
        <w:t>十四五</w:t>
      </w:r>
      <w:r>
        <w:rPr>
          <w:rFonts w:ascii="仿宋_GB2312" w:hAnsi="仿宋_GB2312" w:cs="仿宋_GB2312"/>
        </w:rPr>
        <w:t>”</w:t>
      </w:r>
      <w:r>
        <w:t>期间，东莞市住房发展各项工作任务扎实开展，多项目标指标基本实现，但仍面临一些问题，主要包括住房供应体系不够健全</w:t>
      </w:r>
      <w:r>
        <w:rPr>
          <w:rFonts w:hint="eastAsia"/>
          <w:lang w:eastAsia="zh-CN"/>
        </w:rPr>
        <w:t>、</w:t>
      </w:r>
      <w:r>
        <w:t>房地产市场止跌回稳基础有待夯实</w:t>
      </w:r>
      <w:r>
        <w:rPr>
          <w:rFonts w:hint="eastAsia"/>
          <w:lang w:eastAsia="zh-CN"/>
        </w:rPr>
        <w:t>、</w:t>
      </w:r>
      <w:r>
        <w:rPr>
          <w:rFonts w:hint="eastAsia"/>
        </w:rPr>
        <w:t>保障性住房供需匹配水平有待提高</w:t>
      </w:r>
      <w:r>
        <w:rPr>
          <w:rFonts w:hint="eastAsia"/>
          <w:lang w:eastAsia="zh-CN"/>
        </w:rPr>
        <w:t>、</w:t>
      </w:r>
      <w:r>
        <w:t>居住环境宜居韧性水平有待提升等。</w:t>
      </w:r>
    </w:p>
    <w:p w14:paraId="4CFFBC8B">
      <w:pPr>
        <w:spacing w:after="0" w:line="360" w:lineRule="auto"/>
        <w:ind w:firstLine="640" w:firstLineChars="200"/>
        <w:outlineLvl w:val="1"/>
        <w:rPr>
          <w:rFonts w:eastAsia="楷体_GB2312"/>
          <w:bCs/>
        </w:rPr>
      </w:pPr>
      <w:bookmarkStart w:id="18" w:name="_Toc226725725"/>
      <w:bookmarkStart w:id="19" w:name="_Toc30989"/>
      <w:bookmarkStart w:id="20" w:name="_Hlk213684758"/>
      <w:r>
        <w:rPr>
          <w:rFonts w:eastAsia="楷体_GB2312"/>
          <w:bCs/>
        </w:rPr>
        <w:t>（二）发展形势</w:t>
      </w:r>
      <w:bookmarkEnd w:id="18"/>
      <w:bookmarkEnd w:id="19"/>
      <w:bookmarkEnd w:id="20"/>
    </w:p>
    <w:p w14:paraId="2C99B7D6">
      <w:pPr>
        <w:spacing w:after="0" w:line="360" w:lineRule="auto"/>
        <w:ind w:firstLine="643" w:firstLineChars="200"/>
      </w:pPr>
      <w:r>
        <w:rPr>
          <w:b/>
          <w:bCs/>
        </w:rPr>
        <w:t>一是住房发展对稳定经济作用重大，需开拓支撑经济发展的新路径。</w:t>
      </w:r>
      <w:r>
        <w:t>东莞市作为外贸依存度较高的城市，要切实推进做强国内大循环工作。</w:t>
      </w:r>
      <w:r>
        <w:rPr>
          <w:rFonts w:hint="eastAsia"/>
        </w:rPr>
        <w:t>房地产业链条长、涉及面广，</w:t>
      </w:r>
      <w:r>
        <w:t>要充分发挥扩大内需的积极作用，需加快推动转型升级，</w:t>
      </w:r>
      <w:bookmarkStart w:id="21" w:name="_Hlk213685335"/>
      <w:r>
        <w:t>为稳定经济发展提供新支撑</w:t>
      </w:r>
      <w:bookmarkEnd w:id="21"/>
      <w:r>
        <w:t>。</w:t>
      </w:r>
    </w:p>
    <w:p w14:paraId="02CF9708">
      <w:pPr>
        <w:spacing w:after="0" w:line="360" w:lineRule="auto"/>
        <w:ind w:firstLine="643" w:firstLineChars="200"/>
      </w:pPr>
      <w:r>
        <w:rPr>
          <w:b/>
          <w:bCs/>
        </w:rPr>
        <w:t>二是市场结构从外向型向内驱型转变，需进一步挖掘消费潜力。</w:t>
      </w:r>
      <w:r>
        <w:t>东莞市常住人口过千万，具有良好的住房消费基础，但住房自有率仅23%，户籍人口占</w:t>
      </w:r>
      <w:r>
        <w:rPr>
          <w:rFonts w:hint="eastAsia"/>
        </w:rPr>
        <w:t>常住人口比重约</w:t>
      </w:r>
      <w:r>
        <w:t>32%，对住房消费支撑力度有限，需进一步挖掘内需潜力。</w:t>
      </w:r>
      <w:r>
        <w:rPr>
          <w:rFonts w:hint="eastAsia"/>
        </w:rPr>
        <w:t>同时，</w:t>
      </w:r>
      <w:r>
        <w:t>东莞市区位优势明显，若</w:t>
      </w:r>
      <w:r>
        <w:rPr>
          <w:rFonts w:hint="eastAsia"/>
          <w:lang w:val="en-US" w:eastAsia="zh-CN"/>
        </w:rPr>
        <w:t>进一步提升居民住房可负担水平和</w:t>
      </w:r>
      <w:r>
        <w:t>居住品质，将可能持续吸引广深和港澳的外溢人口。</w:t>
      </w:r>
    </w:p>
    <w:p w14:paraId="01A7DF1B">
      <w:pPr>
        <w:spacing w:after="0" w:line="360" w:lineRule="auto"/>
        <w:ind w:firstLine="643" w:firstLineChars="200"/>
      </w:pPr>
      <w:r>
        <w:rPr>
          <w:b/>
          <w:bCs/>
        </w:rPr>
        <w:t>三是产业高质量发展步伐加快，需深入推进产城融合。</w:t>
      </w:r>
      <w:r>
        <w:t>东莞市提出</w:t>
      </w:r>
      <w:r>
        <w:rPr>
          <w:rFonts w:ascii="仿宋_GB2312" w:hAnsi="仿宋_GB2312" w:cs="仿宋_GB2312"/>
        </w:rPr>
        <w:t>“</w:t>
      </w:r>
      <w:r>
        <w:t>智创优品、和美宜居</w:t>
      </w:r>
      <w:r>
        <w:rPr>
          <w:rFonts w:ascii="仿宋_GB2312" w:hAnsi="仿宋_GB2312" w:cs="仿宋_GB2312"/>
        </w:rPr>
        <w:t>”</w:t>
      </w:r>
      <w:r>
        <w:t>城市发展战略目标，为弥补过去</w:t>
      </w:r>
      <w:r>
        <w:rPr>
          <w:rFonts w:ascii="仿宋_GB2312" w:hAnsi="仿宋_GB2312" w:cs="仿宋_GB2312"/>
        </w:rPr>
        <w:t>“</w:t>
      </w:r>
      <w:r>
        <w:t>重产业、轻生活</w:t>
      </w:r>
      <w:r>
        <w:rPr>
          <w:rFonts w:ascii="仿宋_GB2312" w:hAnsi="仿宋_GB2312" w:cs="仿宋_GB2312"/>
        </w:rPr>
        <w:t>”</w:t>
      </w:r>
      <w:r>
        <w:t>的短板，要聚焦产业转型升级，打造一批配套集中、功能齐备、产城人融合的优质空间载体，为庞大产业人口和新市民、青年人提供更好的居住生活条件，增强其归属感和认同感，引导产业人口市民化。</w:t>
      </w:r>
    </w:p>
    <w:p w14:paraId="31F44323">
      <w:pPr>
        <w:spacing w:after="0" w:line="360" w:lineRule="auto"/>
        <w:ind w:firstLine="643" w:firstLineChars="200"/>
      </w:pPr>
      <w:r>
        <w:rPr>
          <w:b/>
          <w:bCs/>
        </w:rPr>
        <w:t>四是人口结构优化带动住房消费升级，需进一步完善住房供应体系。</w:t>
      </w:r>
      <w:r>
        <w:t>东莞市呈现</w:t>
      </w:r>
      <w:r>
        <w:rPr>
          <w:rFonts w:hint="eastAsia"/>
        </w:rPr>
        <w:t>常住人口稳步增长、</w:t>
      </w:r>
      <w:r>
        <w:t>户籍人口持续增加、人口结构年轻、人口素质稳步提升的特征，人口结构优化将带来住房消费升级的需求。近年来，高品质的商品住房和租赁住房受到市场欢迎。面对住房供应梯度不够健全、存量住房品质不高等问题，需深化供给侧结构性改革，提升住房发展的质量和层次。</w:t>
      </w:r>
    </w:p>
    <w:p w14:paraId="6B315E3C">
      <w:pPr>
        <w:spacing w:after="0" w:line="360" w:lineRule="auto"/>
        <w:ind w:firstLine="643" w:firstLineChars="200"/>
      </w:pPr>
      <w:r>
        <w:rPr>
          <w:b/>
          <w:bCs/>
        </w:rPr>
        <w:t>五是存量提质改造需求日益增大，需</w:t>
      </w:r>
      <w:bookmarkStart w:id="22" w:name="_Hlk213685511"/>
      <w:r>
        <w:rPr>
          <w:b/>
          <w:bCs/>
        </w:rPr>
        <w:t>更有力有序推进城市更新</w:t>
      </w:r>
      <w:bookmarkEnd w:id="22"/>
      <w:r>
        <w:rPr>
          <w:b/>
          <w:bCs/>
        </w:rPr>
        <w:t>。</w:t>
      </w:r>
      <w:r>
        <w:t>东莞市土地开发强度大、土地利用效率低的问题突出，同时存在大规模的存量住房，多元化改造提升需求旺盛。随着人民群众住房需求从</w:t>
      </w:r>
      <w:r>
        <w:rPr>
          <w:rFonts w:ascii="仿宋_GB2312" w:hAnsi="仿宋_GB2312" w:cs="仿宋_GB2312"/>
        </w:rPr>
        <w:t>“</w:t>
      </w:r>
      <w:r>
        <w:t>有没有</w:t>
      </w:r>
      <w:r>
        <w:rPr>
          <w:rFonts w:ascii="仿宋_GB2312" w:hAnsi="仿宋_GB2312" w:cs="仿宋_GB2312"/>
        </w:rPr>
        <w:t>”</w:t>
      </w:r>
      <w:r>
        <w:t>转向</w:t>
      </w:r>
      <w:r>
        <w:rPr>
          <w:rFonts w:ascii="仿宋_GB2312" w:hAnsi="仿宋_GB2312" w:cs="仿宋_GB2312"/>
        </w:rPr>
        <w:t>“</w:t>
      </w:r>
      <w:r>
        <w:t>好不好</w:t>
      </w:r>
      <w:r>
        <w:rPr>
          <w:rFonts w:ascii="仿宋_GB2312" w:hAnsi="仿宋_GB2312" w:cs="仿宋_GB2312"/>
        </w:rPr>
        <w:t>”</w:t>
      </w:r>
      <w:r>
        <w:t>，住房发展从大规模增量建设转向存量提质改造和增量结构调整并重，需更有力有序推进城市更新，促进城市环境综合品质提档升级。</w:t>
      </w:r>
    </w:p>
    <w:p w14:paraId="54FF07CF">
      <w:pPr>
        <w:pStyle w:val="2"/>
        <w:spacing w:after="0" w:line="360" w:lineRule="auto"/>
        <w:rPr>
          <w:rFonts w:ascii="Times New Roman" w:hAnsi="Times New Roman"/>
        </w:rPr>
      </w:pPr>
      <w:bookmarkStart w:id="23" w:name="_Toc226725726"/>
      <w:bookmarkStart w:id="24" w:name="_Toc2674"/>
      <w:r>
        <w:rPr>
          <w:rFonts w:ascii="Times New Roman" w:hAnsi="Times New Roman"/>
        </w:rPr>
        <w:t>二、总体要求</w:t>
      </w:r>
      <w:bookmarkEnd w:id="23"/>
      <w:bookmarkEnd w:id="24"/>
    </w:p>
    <w:p w14:paraId="23B7B1E1">
      <w:pPr>
        <w:pStyle w:val="3"/>
        <w:spacing w:after="0" w:line="360" w:lineRule="auto"/>
        <w:ind w:firstLine="640" w:firstLineChars="0"/>
        <w:rPr>
          <w:rFonts w:ascii="Times New Roman" w:hAnsi="Times New Roman"/>
        </w:rPr>
      </w:pPr>
      <w:bookmarkStart w:id="25" w:name="_Toc196259734"/>
      <w:bookmarkStart w:id="26" w:name="_Toc8342"/>
      <w:bookmarkStart w:id="27" w:name="_Toc18517"/>
      <w:bookmarkStart w:id="28" w:name="_Toc226725727"/>
      <w:r>
        <w:rPr>
          <w:rFonts w:ascii="Times New Roman" w:hAnsi="Times New Roman"/>
        </w:rPr>
        <w:t>（一）指导思想</w:t>
      </w:r>
      <w:bookmarkEnd w:id="25"/>
      <w:bookmarkEnd w:id="26"/>
      <w:bookmarkEnd w:id="27"/>
      <w:bookmarkEnd w:id="28"/>
    </w:p>
    <w:p w14:paraId="4221DC11">
      <w:pPr>
        <w:spacing w:after="0" w:line="360" w:lineRule="auto"/>
        <w:ind w:firstLine="640"/>
      </w:pPr>
      <w:bookmarkStart w:id="29" w:name="_Hlk213686718"/>
      <w:r>
        <w:rPr>
          <w:rFonts w:hint="eastAsia"/>
        </w:rPr>
        <w:t>以</w:t>
      </w:r>
      <w:r>
        <w:t>习近平新时代中国特色社会主义思想</w:t>
      </w:r>
      <w:r>
        <w:rPr>
          <w:rFonts w:hint="eastAsia"/>
        </w:rPr>
        <w:t>为指导</w:t>
      </w:r>
      <w:r>
        <w:t>，深入贯彻党的二十大和二十届历次全会精神，</w:t>
      </w:r>
      <w:bookmarkEnd w:id="29"/>
      <w:r>
        <w:rPr>
          <w:rFonts w:hint="eastAsia"/>
        </w:rPr>
        <w:t>贯彻落实中央经济工作会议、中央城市工作会议精神，</w:t>
      </w:r>
      <w:r>
        <w:t>深入贯彻习近平总书记关于城市工作的重要论述及对广东系列重要讲话和重要指示精神，认真落实省委</w:t>
      </w:r>
      <w:r>
        <w:rPr>
          <w:rFonts w:ascii="仿宋_GB2312" w:hAnsi="仿宋_GB2312" w:cs="仿宋_GB2312"/>
        </w:rPr>
        <w:t>“</w:t>
      </w:r>
      <w:r>
        <w:t>1310</w:t>
      </w:r>
      <w:r>
        <w:rPr>
          <w:rFonts w:ascii="仿宋_GB2312" w:hAnsi="仿宋_GB2312" w:cs="仿宋_GB2312"/>
        </w:rPr>
        <w:t>”</w:t>
      </w:r>
      <w:r>
        <w:t>具体部署和市委、市政府工作要求，加快建设</w:t>
      </w:r>
      <w:r>
        <w:rPr>
          <w:rFonts w:ascii="仿宋_GB2312" w:hAnsi="仿宋_GB2312" w:cs="仿宋_GB2312"/>
        </w:rPr>
        <w:t>“</w:t>
      </w:r>
      <w:r>
        <w:t>智创优品、和美宜居</w:t>
      </w:r>
      <w:r>
        <w:rPr>
          <w:rFonts w:ascii="仿宋_GB2312" w:hAnsi="仿宋_GB2312" w:cs="仿宋_GB2312"/>
        </w:rPr>
        <w:t>”</w:t>
      </w:r>
      <w:r>
        <w:t>的现代化新东莞，加快构建房地产发展新模式，推动房地产高质量发展，健全多主体供给、多渠道保障、租购并举的住房制度，实现全体人民更高水平住有所居，为广东在中国式现代化建设中走在前列作出东莞贡献。</w:t>
      </w:r>
    </w:p>
    <w:p w14:paraId="4AF1C629">
      <w:pPr>
        <w:spacing w:after="0" w:line="360" w:lineRule="auto"/>
        <w:ind w:firstLine="640"/>
        <w:outlineLvl w:val="1"/>
        <w:rPr>
          <w:rFonts w:eastAsia="楷体_GB2312"/>
          <w:bCs/>
        </w:rPr>
      </w:pPr>
      <w:bookmarkStart w:id="30" w:name="_Toc225329931"/>
      <w:bookmarkStart w:id="31" w:name="_Toc8868"/>
      <w:bookmarkStart w:id="32" w:name="_Toc11958"/>
      <w:bookmarkStart w:id="33" w:name="_Toc196259735"/>
      <w:bookmarkStart w:id="34" w:name="_Toc226725728"/>
      <w:r>
        <w:rPr>
          <w:rFonts w:eastAsia="楷体_GB2312"/>
          <w:bCs/>
        </w:rPr>
        <w:t>（二）基本原则</w:t>
      </w:r>
      <w:bookmarkEnd w:id="30"/>
      <w:bookmarkEnd w:id="31"/>
    </w:p>
    <w:p w14:paraId="64416D99">
      <w:pPr>
        <w:spacing w:after="0" w:line="360" w:lineRule="auto"/>
        <w:ind w:firstLine="643" w:firstLineChars="200"/>
        <w:outlineLvl w:val="2"/>
        <w:rPr>
          <w:bCs/>
          <w:szCs w:val="32"/>
          <w:lang w:bidi="zh-CN"/>
        </w:rPr>
      </w:pPr>
      <w:r>
        <w:rPr>
          <w:b/>
          <w:szCs w:val="32"/>
          <w:lang w:bidi="zh-CN"/>
        </w:rPr>
        <w:t>1.坚持</w:t>
      </w:r>
      <w:r>
        <w:rPr>
          <w:rFonts w:hint="eastAsia"/>
          <w:b/>
          <w:szCs w:val="32"/>
          <w:lang w:bidi="zh-CN"/>
        </w:rPr>
        <w:t>人民至上</w:t>
      </w:r>
      <w:r>
        <w:rPr>
          <w:b/>
          <w:szCs w:val="32"/>
          <w:lang w:bidi="zh-CN"/>
        </w:rPr>
        <w:t>，以需定供。</w:t>
      </w:r>
      <w:r>
        <w:rPr>
          <w:bCs/>
          <w:szCs w:val="32"/>
          <w:lang w:bidi="zh-CN"/>
        </w:rPr>
        <w:t>持续健全租购并举、梯度保障的住房供应体系，不断满足人民群众对住房多样化、多元化需求。</w:t>
      </w:r>
    </w:p>
    <w:p w14:paraId="56238280">
      <w:pPr>
        <w:spacing w:after="0" w:line="360" w:lineRule="auto"/>
        <w:ind w:firstLine="643" w:firstLineChars="200"/>
        <w:outlineLvl w:val="2"/>
        <w:rPr>
          <w:b/>
          <w:szCs w:val="32"/>
          <w:lang w:bidi="zh-CN"/>
        </w:rPr>
      </w:pPr>
      <w:r>
        <w:rPr>
          <w:b/>
          <w:szCs w:val="32"/>
          <w:lang w:bidi="zh-CN"/>
        </w:rPr>
        <w:t>2.坚持产城融合，要素联动。</w:t>
      </w:r>
      <w:r>
        <w:rPr>
          <w:bCs/>
          <w:szCs w:val="32"/>
          <w:lang w:bidi="zh-CN"/>
        </w:rPr>
        <w:t>强化住房供给与城市发展、产业布局、人</w:t>
      </w:r>
      <w:r>
        <w:rPr>
          <w:rFonts w:hint="eastAsia"/>
          <w:bCs/>
          <w:szCs w:val="32"/>
          <w:lang w:bidi="zh-CN"/>
        </w:rPr>
        <w:t>口</w:t>
      </w:r>
      <w:r>
        <w:rPr>
          <w:bCs/>
          <w:szCs w:val="32"/>
          <w:lang w:bidi="zh-CN"/>
        </w:rPr>
        <w:t>结构动态适配</w:t>
      </w:r>
      <w:r>
        <w:rPr>
          <w:rFonts w:hint="eastAsia"/>
          <w:bCs/>
          <w:szCs w:val="32"/>
          <w:lang w:bidi="zh-CN"/>
        </w:rPr>
        <w:t>，</w:t>
      </w:r>
      <w:r>
        <w:rPr>
          <w:bCs/>
          <w:szCs w:val="32"/>
          <w:lang w:bidi="zh-CN"/>
        </w:rPr>
        <w:t>坚持人</w:t>
      </w:r>
      <w:r>
        <w:rPr>
          <w:rFonts w:hint="eastAsia"/>
          <w:bCs/>
          <w:szCs w:val="32"/>
          <w:lang w:bidi="zh-CN"/>
        </w:rPr>
        <w:t>、</w:t>
      </w:r>
      <w:r>
        <w:rPr>
          <w:bCs/>
          <w:szCs w:val="32"/>
          <w:lang w:bidi="zh-CN"/>
        </w:rPr>
        <w:t>房</w:t>
      </w:r>
      <w:r>
        <w:rPr>
          <w:rFonts w:hint="eastAsia"/>
          <w:bCs/>
          <w:szCs w:val="32"/>
          <w:lang w:bidi="zh-CN"/>
        </w:rPr>
        <w:t>、</w:t>
      </w:r>
      <w:r>
        <w:rPr>
          <w:bCs/>
          <w:szCs w:val="32"/>
          <w:lang w:bidi="zh-CN"/>
        </w:rPr>
        <w:t>地、钱要素联动发展。</w:t>
      </w:r>
    </w:p>
    <w:p w14:paraId="4E1449A3">
      <w:pPr>
        <w:spacing w:after="0" w:line="360" w:lineRule="auto"/>
        <w:ind w:firstLine="643" w:firstLineChars="200"/>
        <w:outlineLvl w:val="2"/>
        <w:rPr>
          <w:bCs/>
          <w:szCs w:val="32"/>
          <w:lang w:bidi="zh-CN"/>
        </w:rPr>
      </w:pPr>
      <w:r>
        <w:rPr>
          <w:b/>
          <w:szCs w:val="32"/>
          <w:lang w:bidi="zh-CN"/>
        </w:rPr>
        <w:t>3.坚持增存并重，集约高效。</w:t>
      </w:r>
      <w:r>
        <w:rPr>
          <w:rFonts w:hint="eastAsia"/>
          <w:bCs/>
          <w:szCs w:val="32"/>
          <w:lang w:bidi="zh-CN"/>
        </w:rPr>
        <w:t>因城施策控增量、去库存、优供给，</w:t>
      </w:r>
      <w:r>
        <w:rPr>
          <w:bCs/>
          <w:szCs w:val="32"/>
          <w:lang w:bidi="zh-CN"/>
        </w:rPr>
        <w:t>加大存量住房质量安全管控。</w:t>
      </w:r>
    </w:p>
    <w:p w14:paraId="1B324FF4">
      <w:pPr>
        <w:spacing w:after="0" w:line="360" w:lineRule="auto"/>
        <w:ind w:firstLine="643" w:firstLineChars="200"/>
        <w:outlineLvl w:val="2"/>
        <w:rPr>
          <w:bCs/>
          <w:szCs w:val="32"/>
          <w:lang w:bidi="zh-CN"/>
        </w:rPr>
      </w:pPr>
      <w:r>
        <w:rPr>
          <w:b/>
          <w:szCs w:val="32"/>
          <w:lang w:bidi="zh-CN"/>
        </w:rPr>
        <w:t>4.坚持品质提升，空间协同。</w:t>
      </w:r>
      <w:r>
        <w:rPr>
          <w:bCs/>
          <w:szCs w:val="32"/>
          <w:lang w:bidi="zh-CN"/>
        </w:rPr>
        <w:t>坚持“职住交服”空间协同，</w:t>
      </w:r>
      <w:r>
        <w:rPr>
          <w:rFonts w:hint="eastAsia"/>
          <w:bCs/>
          <w:szCs w:val="32"/>
          <w:lang w:bidi="zh-CN"/>
        </w:rPr>
        <w:t>推动</w:t>
      </w:r>
      <w:r>
        <w:rPr>
          <w:bCs/>
          <w:szCs w:val="32"/>
          <w:lang w:val="zh-CN" w:bidi="zh-CN"/>
        </w:rPr>
        <w:t>“四好”建设</w:t>
      </w:r>
      <w:r>
        <w:rPr>
          <w:bCs/>
          <w:szCs w:val="32"/>
          <w:lang w:bidi="zh-CN"/>
        </w:rPr>
        <w:t>，加快推进城市更新，营造高品质城市生活空间。</w:t>
      </w:r>
    </w:p>
    <w:p w14:paraId="37FC904B">
      <w:pPr>
        <w:pStyle w:val="3"/>
        <w:spacing w:after="0" w:line="360" w:lineRule="auto"/>
        <w:ind w:firstLine="640" w:firstLineChars="0"/>
        <w:rPr>
          <w:rFonts w:ascii="Times New Roman" w:hAnsi="Times New Roman"/>
        </w:rPr>
      </w:pPr>
      <w:bookmarkStart w:id="35" w:name="_Toc9403"/>
      <w:r>
        <w:rPr>
          <w:rFonts w:ascii="Times New Roman" w:hAnsi="Times New Roman"/>
        </w:rPr>
        <w:t>（</w:t>
      </w:r>
      <w:r>
        <w:rPr>
          <w:rFonts w:hint="eastAsia" w:ascii="Times New Roman" w:hAnsi="Times New Roman"/>
        </w:rPr>
        <w:t>三</w:t>
      </w:r>
      <w:r>
        <w:rPr>
          <w:rFonts w:ascii="Times New Roman" w:hAnsi="Times New Roman"/>
        </w:rPr>
        <w:t>）</w:t>
      </w:r>
      <w:bookmarkEnd w:id="32"/>
      <w:bookmarkEnd w:id="33"/>
      <w:r>
        <w:rPr>
          <w:rFonts w:ascii="Times New Roman" w:hAnsi="Times New Roman"/>
        </w:rPr>
        <w:t>发展目标</w:t>
      </w:r>
      <w:bookmarkEnd w:id="34"/>
      <w:bookmarkEnd w:id="35"/>
    </w:p>
    <w:bookmarkEnd w:id="7"/>
    <w:bookmarkEnd w:id="8"/>
    <w:p w14:paraId="27BC02E1">
      <w:pPr>
        <w:spacing w:after="0" w:line="360" w:lineRule="auto"/>
        <w:ind w:firstLine="640" w:firstLineChars="200"/>
      </w:pPr>
      <w:bookmarkStart w:id="36" w:name="_Toc196259728"/>
      <w:bookmarkStart w:id="37" w:name="_Toc20593"/>
      <w:r>
        <w:t>围绕</w:t>
      </w:r>
      <w:r>
        <w:rPr>
          <w:rFonts w:ascii="仿宋_GB2312" w:hAnsi="仿宋_GB2312" w:cs="仿宋_GB2312"/>
        </w:rPr>
        <w:t>“</w:t>
      </w:r>
      <w:r>
        <w:t>智创优品、和美宜居</w:t>
      </w:r>
      <w:r>
        <w:rPr>
          <w:rFonts w:ascii="仿宋_GB2312" w:hAnsi="仿宋_GB2312" w:cs="仿宋_GB2312"/>
        </w:rPr>
        <w:t>”</w:t>
      </w:r>
      <w:r>
        <w:t>城市发展战略目标，以</w:t>
      </w:r>
      <w:r>
        <w:rPr>
          <w:rFonts w:ascii="仿宋_GB2312" w:hAnsi="仿宋_GB2312" w:cs="仿宋_GB2312"/>
        </w:rPr>
        <w:t>“</w:t>
      </w:r>
      <w:r>
        <w:rPr>
          <w:b/>
          <w:bCs/>
        </w:rPr>
        <w:t>更有层次、更为稳健、更加精准、更具品质</w:t>
      </w:r>
      <w:r>
        <w:rPr>
          <w:rFonts w:ascii="仿宋_GB2312" w:hAnsi="仿宋_GB2312" w:cs="仿宋_GB2312"/>
        </w:rPr>
        <w:t>”</w:t>
      </w:r>
      <w:r>
        <w:t>为发展愿景，力争实现以下目标：</w:t>
      </w:r>
    </w:p>
    <w:p w14:paraId="27CC9BFA">
      <w:pPr>
        <w:pStyle w:val="4"/>
        <w:ind w:firstLine="643"/>
        <w:rPr>
          <w:rFonts w:ascii="Times New Roman" w:hAnsi="Times New Roman" w:cs="Times New Roman"/>
        </w:rPr>
      </w:pPr>
      <w:bookmarkStart w:id="38" w:name="_Hlk213688319"/>
      <w:r>
        <w:rPr>
          <w:rFonts w:ascii="Times New Roman" w:hAnsi="Times New Roman" w:cs="Times New Roman"/>
        </w:rPr>
        <w:t>1.住房供应体系更有层次</w:t>
      </w:r>
      <w:bookmarkEnd w:id="38"/>
    </w:p>
    <w:p w14:paraId="0DAC40A3">
      <w:pPr>
        <w:spacing w:after="0" w:line="360" w:lineRule="auto"/>
        <w:ind w:firstLine="640" w:firstLineChars="200"/>
      </w:pPr>
      <w:r>
        <w:rPr>
          <w:rFonts w:ascii="仿宋_GB2312" w:hAnsi="仿宋_GB2312" w:cs="仿宋_GB2312"/>
        </w:rPr>
        <w:t>“</w:t>
      </w:r>
      <w:r>
        <w:t>市场</w:t>
      </w:r>
      <w:r>
        <w:rPr>
          <w:rFonts w:hint="eastAsia" w:ascii="仿宋_GB2312" w:hAnsi="仿宋_GB2312" w:cs="仿宋_GB2312"/>
        </w:rPr>
        <w:t>+</w:t>
      </w:r>
      <w:r>
        <w:t>保障</w:t>
      </w:r>
      <w:r>
        <w:rPr>
          <w:rFonts w:ascii="仿宋_GB2312" w:hAnsi="仿宋_GB2312" w:cs="仿宋_GB2312"/>
        </w:rPr>
        <w:t>”</w:t>
      </w:r>
      <w:r>
        <w:t>的住房供应体系协调发展，住房供应梯度更加完整，品质可适配、价格可负担的住房选择更加丰富，居民多层次的住房需求得到有效满足。</w:t>
      </w:r>
    </w:p>
    <w:p w14:paraId="46ED6413">
      <w:pPr>
        <w:pStyle w:val="4"/>
        <w:ind w:firstLine="643"/>
        <w:rPr>
          <w:rFonts w:ascii="Times New Roman" w:hAnsi="Times New Roman" w:cs="Times New Roman"/>
        </w:rPr>
      </w:pPr>
      <w:bookmarkStart w:id="39" w:name="_Hlk213688337"/>
      <w:r>
        <w:rPr>
          <w:rFonts w:ascii="Times New Roman" w:hAnsi="Times New Roman" w:cs="Times New Roman"/>
        </w:rPr>
        <w:t>2.住房市场发展更为稳健</w:t>
      </w:r>
      <w:bookmarkEnd w:id="39"/>
    </w:p>
    <w:p w14:paraId="0C21C276">
      <w:pPr>
        <w:spacing w:after="0" w:line="360" w:lineRule="auto"/>
        <w:ind w:firstLine="640" w:firstLineChars="200"/>
      </w:pPr>
      <w:r>
        <w:t>房地产市场止跌回稳，商品住房供应平稳有序增长，价格合理、保持稳定，库存去化周期在合理水平，居民刚性和改善性住房需求充分释放，房地产发展新模式的基础性制度逐步建立。</w:t>
      </w:r>
    </w:p>
    <w:p w14:paraId="00946AF9">
      <w:pPr>
        <w:pStyle w:val="4"/>
        <w:ind w:firstLine="643"/>
        <w:rPr>
          <w:rFonts w:ascii="Times New Roman" w:hAnsi="Times New Roman" w:cs="Times New Roman"/>
        </w:rPr>
      </w:pPr>
      <w:bookmarkStart w:id="40" w:name="_Hlk213688328"/>
      <w:r>
        <w:rPr>
          <w:rFonts w:ascii="Times New Roman" w:hAnsi="Times New Roman" w:cs="Times New Roman"/>
        </w:rPr>
        <w:t>3.住房保障实施更加精准</w:t>
      </w:r>
      <w:bookmarkEnd w:id="40"/>
    </w:p>
    <w:p w14:paraId="7C1B804C">
      <w:pPr>
        <w:spacing w:after="0" w:line="360" w:lineRule="auto"/>
        <w:ind w:firstLine="640" w:firstLineChars="200"/>
      </w:pPr>
      <w:r>
        <w:t>以需定</w:t>
      </w:r>
      <w:r>
        <w:rPr>
          <w:rFonts w:hint="eastAsia"/>
        </w:rPr>
        <w:t>建、以需定</w:t>
      </w:r>
      <w:r>
        <w:t>供的住房保障机制更加完善，</w:t>
      </w:r>
      <w:r>
        <w:rPr>
          <w:rFonts w:hint="eastAsia"/>
        </w:rPr>
        <w:t>有效满足城镇工薪群体和各类困难家庭基本住房需求，在产业社区中建成一批</w:t>
      </w:r>
      <w:r>
        <w:t>高品质保障性住房，</w:t>
      </w:r>
      <w:r>
        <w:rPr>
          <w:rFonts w:hint="eastAsia"/>
        </w:rPr>
        <w:t>产城融合水平显著提高</w:t>
      </w:r>
      <w:r>
        <w:t>。</w:t>
      </w:r>
    </w:p>
    <w:p w14:paraId="001A90F7">
      <w:pPr>
        <w:pStyle w:val="4"/>
        <w:ind w:firstLine="643"/>
        <w:rPr>
          <w:rFonts w:ascii="Times New Roman" w:hAnsi="Times New Roman" w:cs="Times New Roman"/>
        </w:rPr>
      </w:pPr>
      <w:bookmarkStart w:id="41" w:name="_Hlk213688347"/>
      <w:r>
        <w:rPr>
          <w:rFonts w:ascii="Times New Roman" w:hAnsi="Times New Roman" w:cs="Times New Roman"/>
        </w:rPr>
        <w:t>4.城市居住环境更具品质</w:t>
      </w:r>
      <w:bookmarkEnd w:id="41"/>
    </w:p>
    <w:p w14:paraId="11CE9F6C">
      <w:pPr>
        <w:spacing w:after="0" w:line="360" w:lineRule="auto"/>
        <w:ind w:firstLine="640" w:firstLineChars="200"/>
      </w:pPr>
      <w:r>
        <w:t>老旧小区、</w:t>
      </w:r>
      <w:r>
        <w:rPr>
          <w:szCs w:val="24"/>
        </w:rPr>
        <w:t>城中村安全隐患得到消除，基础配套设施逐步完善，房屋品质和</w:t>
      </w:r>
      <w:r>
        <w:t>物业服务质量不断提升，</w:t>
      </w:r>
      <w:r>
        <w:rPr>
          <w:rFonts w:ascii="仿宋_GB2312" w:hAnsi="仿宋_GB2312" w:cs="仿宋_GB2312"/>
        </w:rPr>
        <w:t>“</w:t>
      </w:r>
      <w:r>
        <w:t>好房子</w:t>
      </w:r>
      <w:r>
        <w:rPr>
          <w:rFonts w:ascii="仿宋_GB2312" w:hAnsi="仿宋_GB2312" w:cs="仿宋_GB2312"/>
        </w:rPr>
        <w:t>”</w:t>
      </w:r>
      <w:r>
        <w:t>的规模有效增加，绿色建筑、装配式建筑进一步推广，房屋全生命周期安全管理制度逐步建立，城市宜居水平显著提升。</w:t>
      </w:r>
    </w:p>
    <w:bookmarkEnd w:id="36"/>
    <w:bookmarkEnd w:id="37"/>
    <w:p w14:paraId="27B588B6">
      <w:pPr>
        <w:pStyle w:val="2"/>
        <w:spacing w:after="0" w:line="360" w:lineRule="auto"/>
        <w:rPr>
          <w:rFonts w:ascii="Times New Roman" w:hAnsi="Times New Roman"/>
        </w:rPr>
      </w:pPr>
      <w:bookmarkStart w:id="42" w:name="_Toc17567"/>
      <w:bookmarkStart w:id="43" w:name="_Toc226725729"/>
      <w:bookmarkStart w:id="44" w:name="_Toc196259738"/>
      <w:bookmarkStart w:id="45" w:name="_Toc19850"/>
      <w:r>
        <w:rPr>
          <w:rFonts w:ascii="Times New Roman" w:hAnsi="Times New Roman"/>
        </w:rPr>
        <w:t>三、重点任务</w:t>
      </w:r>
      <w:bookmarkEnd w:id="42"/>
      <w:bookmarkEnd w:id="43"/>
      <w:bookmarkEnd w:id="44"/>
      <w:bookmarkEnd w:id="45"/>
    </w:p>
    <w:p w14:paraId="4D6B1F08">
      <w:pPr>
        <w:pStyle w:val="3"/>
        <w:spacing w:after="0" w:line="360" w:lineRule="auto"/>
        <w:ind w:firstLine="640"/>
        <w:rPr>
          <w:rFonts w:ascii="Times New Roman" w:hAnsi="Times New Roman"/>
        </w:rPr>
      </w:pPr>
      <w:bookmarkStart w:id="46" w:name="_Toc226725730"/>
      <w:bookmarkStart w:id="47" w:name="_Toc30126"/>
      <w:r>
        <w:rPr>
          <w:rFonts w:ascii="Times New Roman" w:hAnsi="Times New Roman"/>
        </w:rPr>
        <w:t>（一）</w:t>
      </w:r>
      <w:bookmarkStart w:id="48" w:name="_Hlk213689189"/>
      <w:r>
        <w:rPr>
          <w:rFonts w:ascii="Times New Roman" w:hAnsi="Times New Roman"/>
        </w:rPr>
        <w:t>稳定住房市场，充分释放住房消费需求</w:t>
      </w:r>
      <w:bookmarkEnd w:id="46"/>
      <w:bookmarkEnd w:id="47"/>
      <w:bookmarkEnd w:id="48"/>
    </w:p>
    <w:p w14:paraId="2C2343B6">
      <w:pPr>
        <w:pStyle w:val="4"/>
        <w:spacing w:after="0" w:line="360" w:lineRule="auto"/>
        <w:ind w:firstLine="643"/>
        <w:rPr>
          <w:rFonts w:ascii="Times New Roman" w:hAnsi="Times New Roman" w:cs="Times New Roman"/>
          <w:b w:val="0"/>
          <w:bCs/>
          <w:lang w:val="en-US"/>
        </w:rPr>
      </w:pPr>
      <w:r>
        <w:rPr>
          <w:rFonts w:ascii="Times New Roman" w:hAnsi="Times New Roman" w:cs="Times New Roman"/>
          <w:bCs/>
          <w:lang w:val="en-US"/>
        </w:rPr>
        <w:t>1.优化商品住房供给</w:t>
      </w:r>
    </w:p>
    <w:p w14:paraId="132F0C62">
      <w:pPr>
        <w:spacing w:after="0" w:line="360" w:lineRule="auto"/>
        <w:ind w:firstLine="643"/>
      </w:pPr>
      <w:r>
        <w:t>实施量增价稳策略，推动住房自有率稳步提升。强化房地产市场监测，根据各区域库存去化情况，</w:t>
      </w:r>
      <w:r>
        <w:rPr>
          <w:rFonts w:hint="eastAsia"/>
        </w:rPr>
        <w:t>科学</w:t>
      </w:r>
      <w:r>
        <w:t>有序增加新建商品住房供应。契合市场需求，合理增加优质土地和改善性住房供给，更好释放居民改善性住房需求。引导新增建设的商品住房主要为高品质住宅。</w:t>
      </w:r>
      <w:r>
        <w:rPr>
          <w:rFonts w:ascii="仿宋_GB2312" w:hAnsi="仿宋_GB2312" w:cs="仿宋_GB2312"/>
        </w:rPr>
        <w:t>“</w:t>
      </w:r>
      <w:r>
        <w:t>十五五</w:t>
      </w:r>
      <w:r>
        <w:rPr>
          <w:rFonts w:ascii="仿宋_GB2312" w:hAnsi="仿宋_GB2312" w:cs="仿宋_GB2312"/>
        </w:rPr>
        <w:t>”</w:t>
      </w:r>
      <w:r>
        <w:t>期间，</w:t>
      </w:r>
      <w:r>
        <w:rPr>
          <w:rFonts w:hint="eastAsia"/>
        </w:rPr>
        <w:t>计划</w:t>
      </w:r>
      <w:r>
        <w:t>批准</w:t>
      </w:r>
      <w:r>
        <w:rPr>
          <w:rFonts w:hint="eastAsia"/>
          <w:lang w:eastAsia="zh-CN"/>
        </w:rPr>
        <w:t>销售</w:t>
      </w:r>
      <w:r>
        <w:t>新建商品住房10万套。</w:t>
      </w:r>
    </w:p>
    <w:p w14:paraId="48F24E9D">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2.</w:t>
      </w:r>
      <w:bookmarkStart w:id="49" w:name="_Hlk218702809"/>
      <w:r>
        <w:rPr>
          <w:rFonts w:ascii="Times New Roman" w:hAnsi="Times New Roman" w:cs="Times New Roman"/>
        </w:rPr>
        <w:t>大力</w:t>
      </w:r>
      <w:bookmarkStart w:id="50" w:name="_Hlk219310937"/>
      <w:r>
        <w:rPr>
          <w:rFonts w:ascii="Times New Roman" w:hAnsi="Times New Roman" w:cs="Times New Roman"/>
        </w:rPr>
        <w:t>支持居民刚性和改善性住房需求</w:t>
      </w:r>
      <w:bookmarkEnd w:id="49"/>
      <w:bookmarkEnd w:id="50"/>
    </w:p>
    <w:p w14:paraId="47DA48B1">
      <w:pPr>
        <w:spacing w:after="0" w:line="360" w:lineRule="auto"/>
        <w:ind w:firstLine="643"/>
      </w:pPr>
      <w:r>
        <w:t>探索推动发放购房补贴、契税补贴、租房补贴、消费券等，重点支持新市民、青年人</w:t>
      </w:r>
      <w:r>
        <w:rPr>
          <w:rFonts w:hint="eastAsia"/>
        </w:rPr>
        <w:t>、初婚初育及多子女家庭</w:t>
      </w:r>
      <w:r>
        <w:t>等群体在莞置业。促进一、二手房市场联动，鼓励房地产开发企业、经纪机构积极推动住房</w:t>
      </w:r>
      <w:r>
        <w:rPr>
          <w:rFonts w:ascii="仿宋_GB2312" w:hAnsi="仿宋_GB2312" w:cs="仿宋_GB2312"/>
        </w:rPr>
        <w:t>“</w:t>
      </w:r>
      <w:r>
        <w:t>卖旧买新</w:t>
      </w:r>
      <w:r>
        <w:rPr>
          <w:rFonts w:ascii="仿宋_GB2312" w:hAnsi="仿宋_GB2312" w:cs="仿宋_GB2312"/>
        </w:rPr>
        <w:t>”</w:t>
      </w:r>
      <w:r>
        <w:t>，银行等金融机构支持二手房同行或跨行</w:t>
      </w:r>
      <w:r>
        <w:rPr>
          <w:rFonts w:ascii="仿宋_GB2312" w:hAnsi="仿宋_GB2312" w:cs="仿宋_GB2312"/>
        </w:rPr>
        <w:t>“</w:t>
      </w:r>
      <w:r>
        <w:t>带押过户</w:t>
      </w:r>
      <w:r>
        <w:rPr>
          <w:rFonts w:ascii="仿宋_GB2312" w:hAnsi="仿宋_GB2312" w:cs="仿宋_GB2312"/>
        </w:rPr>
        <w:t>”</w:t>
      </w:r>
      <w:r>
        <w:t>业务，降低居民换购成本。优化家庭住房套数认定标准，为</w:t>
      </w:r>
      <w:r>
        <w:rPr>
          <w:rFonts w:hint="eastAsia"/>
        </w:rPr>
        <w:t>多子女家庭等</w:t>
      </w:r>
      <w:r>
        <w:t>改善性购房居民提供更多首付和信贷支持。</w:t>
      </w:r>
    </w:p>
    <w:p w14:paraId="73B2E870">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3.</w:t>
      </w:r>
      <w:bookmarkStart w:id="51" w:name="_Hlk219309698"/>
      <w:r>
        <w:rPr>
          <w:rFonts w:ascii="Times New Roman" w:hAnsi="Times New Roman" w:cs="Times New Roman"/>
          <w:bCs/>
          <w:lang w:val="en-US"/>
        </w:rPr>
        <w:t>培育壮大新型城镇化住房需求</w:t>
      </w:r>
      <w:bookmarkEnd w:id="51"/>
    </w:p>
    <w:p w14:paraId="529861D5">
      <w:pPr>
        <w:spacing w:after="0" w:line="360" w:lineRule="auto"/>
        <w:ind w:firstLine="643"/>
      </w:pPr>
      <w:r>
        <w:t>提高城镇居住品质，坚持自上而下、整体规划、连片开发，坚持</w:t>
      </w:r>
      <w:r>
        <w:rPr>
          <w:rFonts w:ascii="仿宋_GB2312" w:hAnsi="仿宋_GB2312" w:cs="仿宋_GB2312"/>
        </w:rPr>
        <w:t>“</w:t>
      </w:r>
      <w:r>
        <w:t>职住交服</w:t>
      </w:r>
      <w:r>
        <w:rPr>
          <w:rFonts w:ascii="仿宋_GB2312" w:hAnsi="仿宋_GB2312" w:cs="仿宋_GB2312"/>
        </w:rPr>
        <w:t>”</w:t>
      </w:r>
      <w:r>
        <w:t>空间协同，加大基础设施投入，</w:t>
      </w:r>
      <w:r>
        <w:rPr>
          <w:rFonts w:hint="eastAsia"/>
        </w:rPr>
        <w:t>推动</w:t>
      </w:r>
      <w:r>
        <w:t>交通、学校、医疗等公共服务水平大幅提升。加快推进农业转移人口市民化，持续提高城市规划、建设和治理水平，推进舒适便利的宜居城市建设，吸引更多流动人口在莞安家落户，培育更多本地住房消费需求。</w:t>
      </w:r>
    </w:p>
    <w:p w14:paraId="69A0BBD0">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4.进一步挖掘湾区核心城市外溢需求</w:t>
      </w:r>
    </w:p>
    <w:p w14:paraId="67165743">
      <w:pPr>
        <w:spacing w:after="0" w:line="360" w:lineRule="auto"/>
        <w:ind w:firstLine="643"/>
      </w:pPr>
      <w:r>
        <w:t>积极融入粤港澳大湾区市场一体化建设，全面对接广深都市圈建设，深化莞港澳</w:t>
      </w:r>
      <w:r>
        <w:rPr>
          <w:rFonts w:hint="eastAsia"/>
          <w:lang w:eastAsia="zh-CN"/>
        </w:rPr>
        <w:t>连接与</w:t>
      </w:r>
      <w:r>
        <w:t>合作，通过产业区域协作带动人口流入，积极承接核心城市外溢住房需求。打造港澳同胞宜居宜业美好家园，组织房地产开发企业赴港澳推广优质商品房项目，优化跨境支付、按揭贷款等服务，便利港澳居民在莞购房。</w:t>
      </w:r>
    </w:p>
    <w:p w14:paraId="04C9AE92">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5.积极消化存量商品房库存</w:t>
      </w:r>
    </w:p>
    <w:p w14:paraId="1B2065AB">
      <w:pPr>
        <w:widowControl/>
        <w:spacing w:after="0" w:line="360" w:lineRule="auto"/>
        <w:ind w:firstLine="643"/>
        <w:jc w:val="left"/>
        <w:rPr>
          <w:b/>
          <w:bCs/>
          <w:szCs w:val="32"/>
          <w:lang w:bidi="zh-CN"/>
        </w:rPr>
      </w:pPr>
      <w:r>
        <w:rPr>
          <w:rFonts w:hint="eastAsia"/>
          <w:lang w:val="en-US" w:eastAsia="zh-CN"/>
        </w:rPr>
        <w:t>积极通过收购、实施房票安置等方式消化存量商品房，继续推进商业、办公用房去库存</w:t>
      </w:r>
      <w:r>
        <w:rPr>
          <w:rFonts w:hint="eastAsia"/>
          <w:lang w:eastAsia="zh-CN"/>
        </w:rPr>
        <w:t>。</w:t>
      </w:r>
      <w:r>
        <w:t>鼓励政企协商调整设计条件，减少传统住宅供应，转为供应高品质住宅。</w:t>
      </w:r>
      <w:r>
        <w:rPr>
          <w:rFonts w:hint="eastAsia"/>
        </w:rPr>
        <w:t>进一步优化</w:t>
      </w:r>
      <w:r>
        <w:t>车位销售政策，释放更多车位购买需求，缓解房地产开发企业资金沉淀压力。</w:t>
      </w:r>
    </w:p>
    <w:p w14:paraId="61A61957">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6.持续稳定市场预期</w:t>
      </w:r>
    </w:p>
    <w:p w14:paraId="7C0F7CBD">
      <w:pPr>
        <w:spacing w:after="0" w:line="360" w:lineRule="auto"/>
        <w:ind w:firstLine="643"/>
      </w:pPr>
      <w:r>
        <w:t>切实推进保交房工作，妥善化解信访涉稳风险，保障人民群众合法权益，提振市场信心。重点关注法拍房、银行直销房对市场的冲击，引导国有企业充分发挥稳定市场作用，按市场化</w:t>
      </w:r>
      <w:r>
        <w:rPr>
          <w:rFonts w:hint="eastAsia"/>
          <w:lang w:eastAsia="zh-CN"/>
        </w:rPr>
        <w:t>、</w:t>
      </w:r>
      <w:r>
        <w:t>法治化原则收购法拍房和银行直销房。保持房地产政策的连续性、一致性与稳定性，准确解读政策措施，从严打击自媒体乱象，营造良好的住房消费环境。</w:t>
      </w:r>
    </w:p>
    <w:p w14:paraId="2A44D33C">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7.规范发展住房租赁市场</w:t>
      </w:r>
    </w:p>
    <w:p w14:paraId="2CD772EB">
      <w:pPr>
        <w:spacing w:after="0" w:line="360" w:lineRule="auto"/>
        <w:ind w:firstLine="643"/>
      </w:pPr>
      <w:r>
        <w:t>支持规模化专业化住房租赁企业发展。支持房地产开发企业、中介机构、物业服务企业等市场主体发展住房租赁业务，通过收购、托管等方式盘活存量房源用于租赁，规模化运营租赁住房。提高行业监管和服务能力，持续整治规范租赁市场秩序，稳定住房租赁关系，依法维护租赁双方合法权益。</w:t>
      </w:r>
    </w:p>
    <w:p w14:paraId="0598D496">
      <w:pPr>
        <w:pStyle w:val="3"/>
        <w:spacing w:after="0" w:line="360" w:lineRule="auto"/>
        <w:ind w:firstLine="640"/>
        <w:rPr>
          <w:rFonts w:ascii="Times New Roman" w:hAnsi="Times New Roman"/>
        </w:rPr>
      </w:pPr>
      <w:bookmarkStart w:id="52" w:name="_Toc26303"/>
      <w:bookmarkStart w:id="53" w:name="_Toc226725731"/>
      <w:r>
        <w:rPr>
          <w:rFonts w:ascii="Times New Roman" w:hAnsi="Times New Roman"/>
        </w:rPr>
        <w:t>（二）</w:t>
      </w:r>
      <w:bookmarkStart w:id="54" w:name="_Hlk213689177"/>
      <w:r>
        <w:rPr>
          <w:rFonts w:ascii="Times New Roman" w:hAnsi="Times New Roman"/>
        </w:rPr>
        <w:t>优化保障供给，更精准匹配各层次安居需求</w:t>
      </w:r>
      <w:bookmarkEnd w:id="52"/>
      <w:bookmarkEnd w:id="53"/>
      <w:bookmarkEnd w:id="54"/>
    </w:p>
    <w:p w14:paraId="28DECF73">
      <w:pPr>
        <w:pStyle w:val="4"/>
        <w:spacing w:after="0" w:line="360" w:lineRule="auto"/>
        <w:ind w:firstLine="643"/>
        <w:rPr>
          <w:rFonts w:ascii="Times New Roman" w:hAnsi="Times New Roman" w:cs="Times New Roman"/>
          <w:b w:val="0"/>
          <w:bCs/>
          <w:lang w:val="en-US"/>
        </w:rPr>
      </w:pPr>
      <w:r>
        <w:rPr>
          <w:rFonts w:ascii="Times New Roman" w:hAnsi="Times New Roman" w:cs="Times New Roman"/>
          <w:bCs/>
          <w:lang w:val="en-US"/>
        </w:rPr>
        <w:t>1.持续做好公租房兜底保障</w:t>
      </w:r>
    </w:p>
    <w:p w14:paraId="69793844">
      <w:pPr>
        <w:spacing w:after="0" w:line="360" w:lineRule="auto"/>
        <w:ind w:firstLine="643"/>
      </w:pPr>
      <w:r>
        <w:t>实物保障与货币补贴相结合，持续为</w:t>
      </w:r>
      <w:r>
        <w:rPr>
          <w:rFonts w:hint="eastAsia"/>
        </w:rPr>
        <w:t>城镇低保</w:t>
      </w:r>
      <w:r>
        <w:t>住房困难家庭提供兜底保障，逐步加大</w:t>
      </w:r>
      <w:r>
        <w:rPr>
          <w:rFonts w:hint="eastAsia"/>
          <w:lang w:eastAsia="zh-CN"/>
        </w:rPr>
        <w:t>对</w:t>
      </w:r>
      <w:r>
        <w:t>住房、收入</w:t>
      </w:r>
      <w:r>
        <w:rPr>
          <w:rFonts w:ascii="仿宋_GB2312" w:hAnsi="仿宋_GB2312" w:cs="仿宋_GB2312"/>
        </w:rPr>
        <w:t>“</w:t>
      </w:r>
      <w:r>
        <w:t>双困</w:t>
      </w:r>
      <w:r>
        <w:rPr>
          <w:rFonts w:ascii="仿宋_GB2312" w:hAnsi="仿宋_GB2312" w:cs="仿宋_GB2312"/>
        </w:rPr>
        <w:t>”</w:t>
      </w:r>
      <w:r>
        <w:t>城镇常住人口的保障力度</w:t>
      </w:r>
      <w:r>
        <w:rPr>
          <w:rFonts w:hint="eastAsia"/>
        </w:rPr>
        <w:t>。优化初婚初育及多子女家庭保障面积标准，在户型选择上予以适当照顾。</w:t>
      </w:r>
      <w:r>
        <w:rPr>
          <w:rFonts w:ascii="仿宋_GB2312" w:hAnsi="仿宋_GB2312" w:cs="仿宋_GB2312"/>
        </w:rPr>
        <w:t>“</w:t>
      </w:r>
      <w:r>
        <w:t>十五五</w:t>
      </w:r>
      <w:r>
        <w:rPr>
          <w:rFonts w:ascii="仿宋_GB2312" w:hAnsi="仿宋_GB2312" w:cs="仿宋_GB2312"/>
        </w:rPr>
        <w:t>”</w:t>
      </w:r>
      <w:r>
        <w:t>期间，平均每年发放住房保障货币补贴4000户（</w:t>
      </w:r>
      <w:r>
        <w:rPr>
          <w:rFonts w:hint="eastAsia"/>
          <w:lang w:eastAsia="zh-CN"/>
        </w:rPr>
        <w:t>根</w:t>
      </w:r>
      <w:r>
        <w:t>据实际需求调整）。</w:t>
      </w:r>
    </w:p>
    <w:p w14:paraId="5DDBD03B">
      <w:pPr>
        <w:pStyle w:val="4"/>
        <w:spacing w:after="0" w:line="360" w:lineRule="auto"/>
        <w:ind w:firstLine="643"/>
        <w:rPr>
          <w:rFonts w:ascii="Times New Roman" w:hAnsi="Times New Roman" w:cs="Times New Roman"/>
          <w:b w:val="0"/>
          <w:bCs/>
          <w:lang w:val="en-US"/>
        </w:rPr>
      </w:pPr>
      <w:r>
        <w:rPr>
          <w:rFonts w:ascii="Times New Roman" w:hAnsi="Times New Roman" w:cs="Times New Roman"/>
          <w:bCs/>
          <w:lang w:val="en-US"/>
        </w:rPr>
        <w:t>2.</w:t>
      </w:r>
      <w:r>
        <w:rPr>
          <w:rFonts w:ascii="Times New Roman" w:hAnsi="Times New Roman" w:cs="Times New Roman"/>
        </w:rPr>
        <w:t>因地制宜发展保障性租赁住房</w:t>
      </w:r>
    </w:p>
    <w:p w14:paraId="3BCECA20">
      <w:pPr>
        <w:spacing w:after="0" w:line="360" w:lineRule="auto"/>
        <w:ind w:firstLine="643"/>
      </w:pPr>
      <w:r>
        <w:t>以</w:t>
      </w:r>
      <w:r>
        <w:rPr>
          <w:rFonts w:hint="eastAsia"/>
        </w:rPr>
        <w:t>产业社区</w:t>
      </w:r>
      <w:r>
        <w:t>集中配套建设为重点，稳步推进保障性租赁住房建设，打造一批配套集中、功能齐备、产城人融合的优质空间载体，提升产业人口居住品质。积极探索通过市属</w:t>
      </w:r>
      <w:r>
        <w:rPr>
          <w:rFonts w:hint="eastAsia"/>
          <w:lang w:eastAsia="zh-CN"/>
        </w:rPr>
        <w:t>、</w:t>
      </w:r>
      <w:r>
        <w:t>镇属企业自有物业盘活改造、城中村改造建设、收购存量商品房等多种途径筹集房源，进一步扩大面向社会的房源供应。</w:t>
      </w:r>
      <w:r>
        <w:rPr>
          <w:rFonts w:ascii="仿宋_GB2312" w:hAnsi="仿宋_GB2312" w:cs="仿宋_GB2312"/>
        </w:rPr>
        <w:t>“</w:t>
      </w:r>
      <w:r>
        <w:t>十五五</w:t>
      </w:r>
      <w:r>
        <w:rPr>
          <w:rFonts w:ascii="仿宋_GB2312" w:hAnsi="仿宋_GB2312" w:cs="仿宋_GB2312"/>
        </w:rPr>
        <w:t>”</w:t>
      </w:r>
      <w:r>
        <w:t>期间，建设筹集保障性租赁住房1.5万套（</w:t>
      </w:r>
      <w:r>
        <w:rPr>
          <w:rFonts w:hint="eastAsia"/>
          <w:lang w:eastAsia="zh-CN"/>
        </w:rPr>
        <w:t>根</w:t>
      </w:r>
      <w:r>
        <w:t>据实际需求调整）。</w:t>
      </w:r>
    </w:p>
    <w:p w14:paraId="2DE00F38">
      <w:pPr>
        <w:pStyle w:val="4"/>
        <w:spacing w:after="0" w:line="360" w:lineRule="auto"/>
        <w:ind w:firstLine="643"/>
        <w:rPr>
          <w:rFonts w:ascii="Times New Roman" w:hAnsi="Times New Roman" w:cs="Times New Roman"/>
          <w:b w:val="0"/>
          <w:bCs/>
          <w:lang w:val="en-US"/>
        </w:rPr>
      </w:pPr>
      <w:r>
        <w:rPr>
          <w:rFonts w:ascii="Times New Roman" w:hAnsi="Times New Roman" w:cs="Times New Roman"/>
          <w:bCs/>
          <w:lang w:val="en-US"/>
        </w:rPr>
        <w:t>3.积极稳妥发展配售型保障性住房</w:t>
      </w:r>
    </w:p>
    <w:p w14:paraId="4B1F491E">
      <w:pPr>
        <w:spacing w:after="0" w:line="360" w:lineRule="auto"/>
        <w:ind w:firstLine="643"/>
      </w:pPr>
      <w:r>
        <w:t>坚持以需定建、以需定购</w:t>
      </w:r>
      <w:r>
        <w:rPr>
          <w:rFonts w:hint="eastAsia"/>
        </w:rPr>
        <w:t>，</w:t>
      </w:r>
      <w:r>
        <w:t>在户型、面积等方面与商品住房适度区隔、错位发展。</w:t>
      </w:r>
      <w:r>
        <w:rPr>
          <w:rFonts w:hint="eastAsia"/>
        </w:rPr>
        <w:t>探索初婚初育及多子女家庭配售绿色通道。</w:t>
      </w:r>
      <w:r>
        <w:t>加快推动首批试点项目建设供应，推动部分存量配建安居房调整为配售型保障性住房销售。健全常态化轮候登记制度，常态化落实用地储备，根据政策实施效果和需求情况，适时推进项目建设。</w:t>
      </w:r>
      <w:r>
        <w:rPr>
          <w:rFonts w:ascii="仿宋_GB2312" w:hAnsi="仿宋_GB2312" w:cs="仿宋_GB2312"/>
        </w:rPr>
        <w:t>“</w:t>
      </w:r>
      <w:r>
        <w:t>十五五</w:t>
      </w:r>
      <w:r>
        <w:rPr>
          <w:rFonts w:ascii="仿宋_GB2312" w:hAnsi="仿宋_GB2312" w:cs="仿宋_GB2312"/>
        </w:rPr>
        <w:t>”</w:t>
      </w:r>
      <w:r>
        <w:t>期间，建设筹集配售型保障性住房2500套（</w:t>
      </w:r>
      <w:r>
        <w:rPr>
          <w:rFonts w:hint="eastAsia"/>
          <w:lang w:eastAsia="zh-CN"/>
        </w:rPr>
        <w:t>根</w:t>
      </w:r>
      <w:r>
        <w:t>据实际需求调整）。</w:t>
      </w:r>
    </w:p>
    <w:p w14:paraId="00F89784">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4.全面加强人才安居力度</w:t>
      </w:r>
    </w:p>
    <w:p w14:paraId="720262CF">
      <w:pPr>
        <w:spacing w:after="0" w:line="360" w:lineRule="auto"/>
        <w:ind w:firstLine="643"/>
      </w:pPr>
      <w:r>
        <w:t>积极在产业集聚、生活便利的地区推进高品质的东莞青年人才驿站建设，为来莞求职的青年人才提供</w:t>
      </w:r>
      <w:r>
        <w:rPr>
          <w:rFonts w:ascii="仿宋_GB2312" w:hAnsi="仿宋_GB2312" w:cs="仿宋_GB2312"/>
        </w:rPr>
        <w:t>“</w:t>
      </w:r>
      <w:r>
        <w:t>求职</w:t>
      </w:r>
      <w:r>
        <w:rPr>
          <w:rFonts w:hint="eastAsia"/>
        </w:rPr>
        <w:t>—</w:t>
      </w:r>
      <w:r>
        <w:t>住宿</w:t>
      </w:r>
      <w:r>
        <w:rPr>
          <w:rFonts w:hint="eastAsia"/>
        </w:rPr>
        <w:t>—</w:t>
      </w:r>
      <w:r>
        <w:t>就业</w:t>
      </w:r>
      <w:r>
        <w:rPr>
          <w:rFonts w:ascii="仿宋_GB2312" w:hAnsi="仿宋_GB2312" w:cs="仿宋_GB2312"/>
        </w:rPr>
        <w:t>”</w:t>
      </w:r>
      <w:r>
        <w:t>一站式优质服务。完善人才住房租金优惠补贴政策，进一步扩大货币保障覆盖面。鼓励国有企业通过合作经营方式筹集市场房源用作人才住房。支持中心城区、松山湖高新区、滨海湾新区等人才占比高、安居需求大的地区，根据人才的需求建设人才住房，合理制定分配规则并根据市场反应适时调整。</w:t>
      </w:r>
    </w:p>
    <w:p w14:paraId="07A88DB6">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5.加强保障性住房全流程监管</w:t>
      </w:r>
    </w:p>
    <w:p w14:paraId="7DCF7B80">
      <w:pPr>
        <w:spacing w:after="0" w:line="360" w:lineRule="auto"/>
        <w:ind w:firstLine="643"/>
      </w:pPr>
      <w:r>
        <w:t>建立健全保障性住房全流程管理制度，细化申请、轮候、准入、使用、退出等管理流程，并严格监督实施。依托市住房保障信息系统，实现保障性住房全流程监管。加快保障性住房项目实施进度，强化工程质量安全监管，提升保障性住房运营管理专业化、规范化水平。</w:t>
      </w:r>
    </w:p>
    <w:p w14:paraId="367CC8A1">
      <w:pPr>
        <w:pStyle w:val="3"/>
        <w:spacing w:after="0" w:line="360" w:lineRule="auto"/>
        <w:ind w:firstLine="640"/>
        <w:rPr>
          <w:rFonts w:ascii="Times New Roman" w:hAnsi="Times New Roman"/>
        </w:rPr>
      </w:pPr>
      <w:bookmarkStart w:id="55" w:name="_Toc9085"/>
      <w:bookmarkStart w:id="56" w:name="_Toc226725732"/>
      <w:r>
        <w:rPr>
          <w:rFonts w:ascii="Times New Roman" w:hAnsi="Times New Roman"/>
        </w:rPr>
        <w:t>（三）</w:t>
      </w:r>
      <w:bookmarkStart w:id="57" w:name="_Hlk218702861"/>
      <w:bookmarkStart w:id="58" w:name="_Hlk213689198"/>
      <w:r>
        <w:rPr>
          <w:rFonts w:ascii="Times New Roman" w:hAnsi="Times New Roman"/>
        </w:rPr>
        <w:t>完善基础制度</w:t>
      </w:r>
      <w:bookmarkEnd w:id="57"/>
      <w:r>
        <w:rPr>
          <w:rFonts w:ascii="Times New Roman" w:hAnsi="Times New Roman"/>
        </w:rPr>
        <w:t>，加快构建房地产发展新模式</w:t>
      </w:r>
      <w:bookmarkEnd w:id="55"/>
      <w:bookmarkEnd w:id="56"/>
      <w:bookmarkEnd w:id="58"/>
    </w:p>
    <w:p w14:paraId="0D1DCC2F">
      <w:pPr>
        <w:spacing w:after="0" w:line="360" w:lineRule="auto"/>
        <w:ind w:firstLine="643" w:firstLineChars="200"/>
        <w:outlineLvl w:val="2"/>
        <w:rPr>
          <w:b/>
          <w:bCs/>
          <w:szCs w:val="22"/>
        </w:rPr>
      </w:pPr>
      <w:r>
        <w:rPr>
          <w:b/>
          <w:bCs/>
          <w:szCs w:val="22"/>
        </w:rPr>
        <w:t>1.</w:t>
      </w:r>
      <w:r>
        <w:rPr>
          <w:rFonts w:hint="eastAsia"/>
          <w:b/>
          <w:bCs/>
          <w:szCs w:val="22"/>
        </w:rPr>
        <w:t>做实房地产项目开发公司制</w:t>
      </w:r>
    </w:p>
    <w:p w14:paraId="673B158A">
      <w:pPr>
        <w:spacing w:after="0" w:line="360" w:lineRule="auto"/>
        <w:ind w:firstLine="640" w:firstLineChars="200"/>
        <w:rPr>
          <w:szCs w:val="22"/>
        </w:rPr>
      </w:pPr>
      <w:r>
        <w:rPr>
          <w:rFonts w:hint="eastAsia"/>
          <w:szCs w:val="22"/>
        </w:rPr>
        <w:t>房地产开发实行项目开发公司制</w:t>
      </w:r>
      <w:r>
        <w:rPr>
          <w:szCs w:val="22"/>
        </w:rPr>
        <w:t>。强化对关键岗位人员的从业信息指标审核与信用管理。健全房地产开发项目手册制度，加强部门间信息共享、互通。建立健全房地产开发项目资金封闭监管制度，项目交付前，严禁抽逃出资或提前分红。</w:t>
      </w:r>
    </w:p>
    <w:p w14:paraId="1AF4DE0F">
      <w:pPr>
        <w:spacing w:after="0" w:line="360" w:lineRule="auto"/>
        <w:ind w:firstLine="643" w:firstLineChars="200"/>
        <w:outlineLvl w:val="2"/>
        <w:rPr>
          <w:b/>
          <w:bCs/>
          <w:szCs w:val="22"/>
        </w:rPr>
      </w:pPr>
      <w:r>
        <w:rPr>
          <w:b/>
          <w:bCs/>
          <w:szCs w:val="22"/>
        </w:rPr>
        <w:t>2.</w:t>
      </w:r>
      <w:r>
        <w:rPr>
          <w:rFonts w:hint="eastAsia"/>
          <w:b/>
          <w:bCs/>
          <w:szCs w:val="22"/>
        </w:rPr>
        <w:t>推行房地产项目融资主办银行制</w:t>
      </w:r>
    </w:p>
    <w:p w14:paraId="4E29B12F">
      <w:pPr>
        <w:spacing w:after="0" w:line="360" w:lineRule="auto"/>
        <w:ind w:firstLine="640" w:firstLineChars="200"/>
        <w:rPr>
          <w:szCs w:val="22"/>
        </w:rPr>
      </w:pPr>
      <w:r>
        <w:rPr>
          <w:szCs w:val="22"/>
        </w:rPr>
        <w:t>一个项目确定一家银行或银团为主办银行，开发、建设、销售等</w:t>
      </w:r>
      <w:r>
        <w:rPr>
          <w:rFonts w:hint="eastAsia"/>
          <w:szCs w:val="22"/>
          <w:lang w:val="en-US" w:eastAsia="zh-CN"/>
        </w:rPr>
        <w:t>与项目相关</w:t>
      </w:r>
      <w:r>
        <w:rPr>
          <w:szCs w:val="22"/>
        </w:rPr>
        <w:t>资金</w:t>
      </w:r>
      <w:r>
        <w:rPr>
          <w:rFonts w:hint="eastAsia"/>
          <w:szCs w:val="22"/>
          <w:lang w:val="en-US" w:eastAsia="zh-CN"/>
        </w:rPr>
        <w:t>均应纳入在</w:t>
      </w:r>
      <w:r>
        <w:rPr>
          <w:szCs w:val="22"/>
        </w:rPr>
        <w:t>主办银行</w:t>
      </w:r>
      <w:r>
        <w:rPr>
          <w:rFonts w:hint="eastAsia"/>
          <w:szCs w:val="22"/>
          <w:lang w:val="en-US" w:eastAsia="zh-CN"/>
        </w:rPr>
        <w:t>开立的资金账户监管</w:t>
      </w:r>
      <w:r>
        <w:rPr>
          <w:szCs w:val="22"/>
        </w:rPr>
        <w:t>，主办银行保</w:t>
      </w:r>
      <w:r>
        <w:rPr>
          <w:rFonts w:hint="eastAsia"/>
          <w:szCs w:val="22"/>
        </w:rPr>
        <w:t>障</w:t>
      </w:r>
      <w:r>
        <w:rPr>
          <w:szCs w:val="22"/>
        </w:rPr>
        <w:t>项目公司合理融资需求，形成主办银行与项目公司利益共享、风险共担的机制。</w:t>
      </w:r>
    </w:p>
    <w:p w14:paraId="5BBCC815">
      <w:pPr>
        <w:pStyle w:val="4"/>
        <w:spacing w:after="0" w:line="360" w:lineRule="auto"/>
        <w:ind w:firstLine="643"/>
        <w:rPr>
          <w:rFonts w:hint="default" w:ascii="Times New Roman" w:hAnsi="Times New Roman" w:cs="Times New Roman"/>
          <w:bCs/>
          <w:szCs w:val="22"/>
          <w:lang w:val="en-US" w:bidi="ar-SA"/>
        </w:rPr>
      </w:pPr>
      <w:r>
        <w:rPr>
          <w:rFonts w:hint="default" w:ascii="Times New Roman" w:hAnsi="Times New Roman" w:cs="Times New Roman"/>
          <w:bCs/>
          <w:szCs w:val="22"/>
          <w:lang w:val="en-US" w:bidi="ar-SA"/>
        </w:rPr>
        <w:t>3.稳妥开展商品</w:t>
      </w:r>
      <w:r>
        <w:rPr>
          <w:rFonts w:hint="eastAsia" w:ascii="Times New Roman" w:hAnsi="Times New Roman" w:cs="Times New Roman"/>
          <w:bCs/>
          <w:szCs w:val="22"/>
          <w:lang w:val="en-US" w:eastAsia="zh-CN" w:bidi="ar-SA"/>
        </w:rPr>
        <w:t>住</w:t>
      </w:r>
      <w:r>
        <w:rPr>
          <w:rFonts w:hint="default" w:ascii="Times New Roman" w:hAnsi="Times New Roman" w:cs="Times New Roman"/>
          <w:bCs/>
          <w:szCs w:val="22"/>
          <w:lang w:val="en-US" w:bidi="ar-SA"/>
        </w:rPr>
        <w:t>房销售制度改革</w:t>
      </w:r>
    </w:p>
    <w:p w14:paraId="64E10285">
      <w:pPr>
        <w:pStyle w:val="4"/>
        <w:spacing w:after="0" w:line="360" w:lineRule="auto"/>
        <w:ind w:firstLine="643"/>
        <w:rPr>
          <w:rFonts w:ascii="Times New Roman" w:hAnsi="Times New Roman" w:cs="Times New Roman"/>
          <w:bCs/>
          <w:szCs w:val="22"/>
          <w:lang w:val="en-US" w:bidi="ar-SA"/>
        </w:rPr>
      </w:pPr>
      <w:r>
        <w:rPr>
          <w:rFonts w:hint="default" w:ascii="Times New Roman" w:hAnsi="Times New Roman" w:cs="Times New Roman"/>
          <w:b w:val="0"/>
          <w:bCs w:val="0"/>
          <w:szCs w:val="22"/>
          <w:lang w:val="en-US" w:bidi="ar-SA"/>
        </w:rPr>
        <w:t>坚持分类试点、分步推进现房销售</w:t>
      </w:r>
      <w:r>
        <w:rPr>
          <w:rFonts w:hint="eastAsia" w:ascii="Times New Roman" w:hAnsi="Times New Roman" w:cs="Times New Roman"/>
          <w:b w:val="0"/>
          <w:bCs w:val="0"/>
          <w:szCs w:val="22"/>
          <w:lang w:val="en-US" w:eastAsia="zh-CN" w:bidi="ar-SA"/>
        </w:rPr>
        <w:t>，做好新旧政策过渡</w:t>
      </w:r>
      <w:r>
        <w:rPr>
          <w:rFonts w:hint="default" w:ascii="Times New Roman" w:hAnsi="Times New Roman" w:cs="Times New Roman"/>
          <w:b w:val="0"/>
          <w:bCs w:val="0"/>
          <w:szCs w:val="22"/>
          <w:lang w:val="en-US" w:bidi="ar-SA"/>
        </w:rPr>
        <w:t>。保障性住房实行现房销售</w:t>
      </w:r>
      <w:r>
        <w:rPr>
          <w:rFonts w:hint="eastAsia" w:ascii="Times New Roman" w:hAnsi="Times New Roman" w:cs="Times New Roman"/>
          <w:b w:val="0"/>
          <w:bCs w:val="0"/>
          <w:szCs w:val="22"/>
          <w:lang w:val="en-US" w:eastAsia="zh-CN" w:bidi="ar-SA"/>
        </w:rPr>
        <w:t>；</w:t>
      </w:r>
      <w:r>
        <w:rPr>
          <w:rFonts w:hint="default" w:ascii="Times New Roman" w:hAnsi="Times New Roman" w:cs="Times New Roman"/>
          <w:b w:val="0"/>
          <w:bCs w:val="0"/>
          <w:szCs w:val="22"/>
          <w:lang w:val="en-US" w:bidi="ar-SA"/>
        </w:rPr>
        <w:t>商品住房</w:t>
      </w:r>
      <w:r>
        <w:rPr>
          <w:rFonts w:hint="default" w:ascii="Times New Roman" w:hAnsi="Times New Roman" w:cs="Times New Roman"/>
          <w:b w:val="0"/>
          <w:szCs w:val="22"/>
          <w:lang w:val="en-US" w:bidi="ar-SA"/>
        </w:rPr>
        <w:t>项目实行预售的，单体建筑应完成主体结构封顶</w:t>
      </w:r>
      <w:r>
        <w:rPr>
          <w:rFonts w:hint="eastAsia" w:ascii="Times New Roman" w:hAnsi="Times New Roman" w:cs="Times New Roman"/>
          <w:b w:val="0"/>
          <w:szCs w:val="22"/>
          <w:lang w:val="en-US" w:eastAsia="zh-CN" w:bidi="ar-SA"/>
        </w:rPr>
        <w:t>；有力有序</w:t>
      </w:r>
      <w:r>
        <w:rPr>
          <w:rFonts w:hint="eastAsia" w:ascii="Times New Roman" w:hAnsi="Times New Roman" w:cs="Times New Roman"/>
          <w:b w:val="0"/>
          <w:bCs w:val="0"/>
          <w:szCs w:val="22"/>
          <w:lang w:val="en-US" w:eastAsia="zh-CN" w:bidi="ar-SA"/>
        </w:rPr>
        <w:t>推行</w:t>
      </w:r>
      <w:r>
        <w:rPr>
          <w:rFonts w:hint="default" w:ascii="Times New Roman" w:hAnsi="Times New Roman" w:cs="Times New Roman"/>
          <w:b w:val="0"/>
          <w:bCs w:val="0"/>
          <w:szCs w:val="22"/>
          <w:lang w:val="en-US" w:bidi="ar-SA"/>
        </w:rPr>
        <w:t>现房销售。优化现房销售项目土地出让价款缴纳比例和时限</w:t>
      </w:r>
      <w:r>
        <w:rPr>
          <w:rFonts w:hint="eastAsia" w:ascii="Times New Roman" w:hAnsi="Times New Roman" w:cs="Times New Roman"/>
          <w:b w:val="0"/>
          <w:bCs w:val="0"/>
          <w:szCs w:val="22"/>
          <w:lang w:val="en-US" w:eastAsia="zh-CN" w:bidi="ar-SA"/>
        </w:rPr>
        <w:t>。</w:t>
      </w:r>
      <w:r>
        <w:rPr>
          <w:rFonts w:hint="default" w:ascii="Times New Roman" w:hAnsi="Times New Roman" w:cs="Times New Roman"/>
          <w:b w:val="0"/>
          <w:bCs w:val="0"/>
          <w:szCs w:val="22"/>
          <w:lang w:val="en-US" w:bidi="ar-SA"/>
        </w:rPr>
        <w:t>推动开发贷款发放与</w:t>
      </w:r>
      <w:r>
        <w:rPr>
          <w:rFonts w:hint="eastAsia" w:ascii="Times New Roman" w:hAnsi="Times New Roman" w:cs="Times New Roman"/>
          <w:b w:val="0"/>
          <w:bCs w:val="0"/>
          <w:szCs w:val="22"/>
          <w:lang w:val="en-US" w:eastAsia="zh-CN" w:bidi="ar-SA"/>
        </w:rPr>
        <w:t>现房销售</w:t>
      </w:r>
      <w:r>
        <w:rPr>
          <w:rFonts w:hint="default" w:ascii="Times New Roman" w:hAnsi="Times New Roman" w:cs="Times New Roman"/>
          <w:b w:val="0"/>
          <w:bCs w:val="0"/>
          <w:szCs w:val="22"/>
          <w:lang w:val="en-US" w:bidi="ar-SA"/>
        </w:rPr>
        <w:t>项目建设周期相匹配。</w:t>
      </w:r>
    </w:p>
    <w:p w14:paraId="583C2EA9">
      <w:pPr>
        <w:pStyle w:val="4"/>
        <w:spacing w:after="0" w:line="360" w:lineRule="auto"/>
        <w:ind w:firstLine="643"/>
        <w:rPr>
          <w:rFonts w:ascii="Times New Roman" w:hAnsi="Times New Roman" w:cs="Times New Roman"/>
          <w:bCs/>
          <w:szCs w:val="22"/>
          <w:lang w:val="en-US" w:bidi="ar-SA"/>
        </w:rPr>
      </w:pPr>
      <w:r>
        <w:rPr>
          <w:rFonts w:ascii="Times New Roman" w:hAnsi="Times New Roman" w:cs="Times New Roman"/>
          <w:bCs/>
          <w:szCs w:val="22"/>
          <w:lang w:val="en-US" w:bidi="ar-SA"/>
        </w:rPr>
        <w:t>4.健全房屋全生命周期安全管理制度</w:t>
      </w:r>
    </w:p>
    <w:p w14:paraId="4903895F">
      <w:pPr>
        <w:spacing w:after="0" w:line="360" w:lineRule="auto"/>
        <w:ind w:firstLine="640"/>
      </w:pPr>
      <w:r>
        <w:rPr>
          <w:rFonts w:hint="eastAsia"/>
        </w:rPr>
        <w:t>制定</w:t>
      </w:r>
      <w:r>
        <w:t>市房屋使用安全管理规定</w:t>
      </w:r>
      <w:r>
        <w:rPr>
          <w:rFonts w:hint="eastAsia"/>
        </w:rPr>
        <w:t>，实施</w:t>
      </w:r>
      <w:r>
        <w:t>市房屋安全管理资金</w:t>
      </w:r>
      <w:r>
        <w:rPr>
          <w:rFonts w:hint="eastAsia"/>
        </w:rPr>
        <w:t>、</w:t>
      </w:r>
      <w:r>
        <w:t>房屋</w:t>
      </w:r>
      <w:r>
        <w:rPr>
          <w:rFonts w:hint="eastAsia"/>
        </w:rPr>
        <w:t>安全</w:t>
      </w:r>
      <w:r>
        <w:t>体检</w:t>
      </w:r>
      <w:r>
        <w:rPr>
          <w:rFonts w:hint="eastAsia"/>
        </w:rPr>
        <w:t>、</w:t>
      </w:r>
      <w:r>
        <w:t>房屋</w:t>
      </w:r>
      <w:r>
        <w:rPr>
          <w:rFonts w:hint="eastAsia"/>
        </w:rPr>
        <w:t>安全</w:t>
      </w:r>
      <w:r>
        <w:t>保险制度实施方案，研究推动三项制度从试点先行到全市推广。建立常态化房屋体检制度，加大</w:t>
      </w:r>
      <w:r>
        <w:rPr>
          <w:rFonts w:ascii="仿宋_GB2312" w:hAnsi="仿宋_GB2312" w:cs="仿宋_GB2312"/>
        </w:rPr>
        <w:t>“</w:t>
      </w:r>
      <w:r>
        <w:t>莞逸家</w:t>
      </w:r>
      <w:r>
        <w:rPr>
          <w:rFonts w:ascii="仿宋_GB2312" w:hAnsi="仿宋_GB2312" w:cs="仿宋_GB2312"/>
        </w:rPr>
        <w:t>”“</w:t>
      </w:r>
      <w:r>
        <w:t>房莞家</w:t>
      </w:r>
      <w:r>
        <w:rPr>
          <w:rFonts w:ascii="仿宋_GB2312" w:hAnsi="仿宋_GB2312" w:cs="仿宋_GB2312"/>
        </w:rPr>
        <w:t>”</w:t>
      </w:r>
      <w:r>
        <w:t>等房屋保险推广力度，通过</w:t>
      </w:r>
      <w:r>
        <w:rPr>
          <w:rFonts w:ascii="仿宋_GB2312" w:hAnsi="仿宋_GB2312" w:cs="仿宋_GB2312"/>
        </w:rPr>
        <w:t>“</w:t>
      </w:r>
      <w:r>
        <w:t>保险+服务</w:t>
      </w:r>
      <w:r>
        <w:rPr>
          <w:rFonts w:ascii="仿宋_GB2312" w:hAnsi="仿宋_GB2312" w:cs="仿宋_GB2312"/>
        </w:rPr>
        <w:t>”</w:t>
      </w:r>
      <w:r>
        <w:t>模式开展房屋日常监测、定期体检。建设房屋体检和保险信息管理系统，强化部门协作形成监管合力。</w:t>
      </w:r>
      <w:r>
        <w:rPr>
          <w:szCs w:val="24"/>
        </w:rPr>
        <w:t>建设维修资金电子票据系统，</w:t>
      </w:r>
      <w:r>
        <w:rPr>
          <w:rFonts w:hint="eastAsia"/>
          <w:szCs w:val="24"/>
        </w:rPr>
        <w:t>实现线上交存，强化维修资金使用全流程公示</w:t>
      </w:r>
      <w:r>
        <w:rPr>
          <w:szCs w:val="24"/>
        </w:rPr>
        <w:t>。</w:t>
      </w:r>
    </w:p>
    <w:p w14:paraId="39E0E005">
      <w:pPr>
        <w:pStyle w:val="3"/>
        <w:spacing w:after="0" w:line="360" w:lineRule="auto"/>
        <w:ind w:firstLine="640"/>
        <w:rPr>
          <w:rFonts w:ascii="Times New Roman" w:hAnsi="Times New Roman"/>
        </w:rPr>
      </w:pPr>
      <w:bookmarkStart w:id="59" w:name="_Toc10080"/>
      <w:bookmarkStart w:id="60" w:name="_Toc226725733"/>
      <w:r>
        <w:rPr>
          <w:rFonts w:ascii="Times New Roman" w:hAnsi="Times New Roman"/>
        </w:rPr>
        <w:t>（四）</w:t>
      </w:r>
      <w:bookmarkStart w:id="61" w:name="_Hlk213689205"/>
      <w:r>
        <w:rPr>
          <w:rFonts w:ascii="Times New Roman" w:hAnsi="Times New Roman"/>
        </w:rPr>
        <w:t>优化标准规范，</w:t>
      </w:r>
      <w:r>
        <w:rPr>
          <w:rFonts w:hint="eastAsia" w:ascii="Times New Roman" w:hAnsi="Times New Roman"/>
        </w:rPr>
        <w:t>大力推动“好房子”建设</w:t>
      </w:r>
      <w:bookmarkEnd w:id="59"/>
      <w:bookmarkEnd w:id="60"/>
      <w:bookmarkEnd w:id="61"/>
    </w:p>
    <w:p w14:paraId="3F36A36C">
      <w:pPr>
        <w:pStyle w:val="4"/>
        <w:spacing w:after="0" w:line="360" w:lineRule="auto"/>
        <w:ind w:firstLine="643"/>
        <w:rPr>
          <w:rFonts w:ascii="Times New Roman" w:hAnsi="Times New Roman" w:cs="Times New Roman"/>
          <w:b w:val="0"/>
          <w:bCs/>
          <w:lang w:val="en-US"/>
        </w:rPr>
      </w:pPr>
      <w:r>
        <w:rPr>
          <w:rFonts w:ascii="Times New Roman" w:hAnsi="Times New Roman" w:cs="Times New Roman"/>
          <w:bCs/>
          <w:lang w:val="en-US"/>
        </w:rPr>
        <w:t>1.</w:t>
      </w:r>
      <w:bookmarkStart w:id="62" w:name="_Hlk218702820"/>
      <w:r>
        <w:rPr>
          <w:rFonts w:hint="eastAsia" w:ascii="Times New Roman" w:hAnsi="Times New Roman" w:cs="Times New Roman"/>
          <w:bCs/>
          <w:lang w:val="en-US"/>
        </w:rPr>
        <w:t>加强</w:t>
      </w:r>
      <w:r>
        <w:rPr>
          <w:rFonts w:ascii="仿宋_GB2312" w:hAnsi="仿宋_GB2312" w:cs="仿宋_GB2312"/>
          <w:bCs/>
          <w:lang w:val="en-US"/>
        </w:rPr>
        <w:t>“</w:t>
      </w:r>
      <w:r>
        <w:rPr>
          <w:rFonts w:ascii="Times New Roman" w:hAnsi="Times New Roman" w:cs="Times New Roman"/>
          <w:bCs/>
          <w:lang w:val="en-US"/>
        </w:rPr>
        <w:t>好房子</w:t>
      </w:r>
      <w:r>
        <w:rPr>
          <w:rFonts w:ascii="仿宋_GB2312" w:hAnsi="仿宋_GB2312" w:cs="仿宋_GB2312"/>
          <w:bCs/>
          <w:lang w:val="en-US"/>
        </w:rPr>
        <w:t>”</w:t>
      </w:r>
      <w:r>
        <w:rPr>
          <w:rFonts w:hint="eastAsia" w:ascii="仿宋_GB2312" w:hAnsi="仿宋_GB2312" w:cs="仿宋_GB2312"/>
          <w:bCs/>
          <w:lang w:val="en-US"/>
        </w:rPr>
        <w:t>设计引领</w:t>
      </w:r>
      <w:bookmarkEnd w:id="62"/>
    </w:p>
    <w:p w14:paraId="3D08E3F4">
      <w:pPr>
        <w:spacing w:after="0" w:line="360" w:lineRule="auto"/>
        <w:ind w:firstLine="640" w:firstLineChars="200"/>
      </w:pPr>
      <w:r>
        <w:t>推广市住宅品质提升设计导则</w:t>
      </w:r>
      <w:r>
        <w:rPr>
          <w:rFonts w:hint="eastAsia"/>
        </w:rPr>
        <w:t>等提升标准，探索“好房子”设计评价机制，指导房地产开发企业优化户型设计、主动创优。</w:t>
      </w:r>
      <w:r>
        <w:t>开展</w:t>
      </w:r>
      <w:r>
        <w:rPr>
          <w:rFonts w:ascii="仿宋_GB2312" w:hAnsi="仿宋_GB2312" w:cs="仿宋_GB2312"/>
        </w:rPr>
        <w:t>“</w:t>
      </w:r>
      <w:r>
        <w:t>莞邑杯</w:t>
      </w:r>
      <w:r>
        <w:rPr>
          <w:rFonts w:ascii="仿宋_GB2312" w:hAnsi="仿宋_GB2312" w:cs="仿宋_GB2312"/>
        </w:rPr>
        <w:t>”</w:t>
      </w:r>
      <w:r>
        <w:t>好房子设计竞赛，</w:t>
      </w:r>
      <w:r>
        <w:rPr>
          <w:rFonts w:hint="eastAsia"/>
        </w:rPr>
        <w:t>宣传推广优秀作品和典型经验。</w:t>
      </w:r>
      <w:r>
        <w:t>探索率先将保障性住房打造为</w:t>
      </w:r>
      <w:r>
        <w:rPr>
          <w:rFonts w:ascii="仿宋_GB2312" w:hAnsi="仿宋_GB2312" w:cs="仿宋_GB2312"/>
        </w:rPr>
        <w:t>“</w:t>
      </w:r>
      <w:r>
        <w:t>好房子</w:t>
      </w:r>
      <w:r>
        <w:rPr>
          <w:rFonts w:ascii="仿宋_GB2312" w:hAnsi="仿宋_GB2312" w:cs="仿宋_GB2312"/>
        </w:rPr>
        <w:t>”</w:t>
      </w:r>
      <w:r>
        <w:t>样本。</w:t>
      </w:r>
      <w:bookmarkStart w:id="63" w:name="_Hlk208930065"/>
    </w:p>
    <w:bookmarkEnd w:id="63"/>
    <w:p w14:paraId="7A62D63D">
      <w:pPr>
        <w:pStyle w:val="4"/>
        <w:spacing w:after="0" w:line="360" w:lineRule="auto"/>
        <w:ind w:firstLine="643"/>
        <w:rPr>
          <w:rFonts w:ascii="Times New Roman" w:hAnsi="Times New Roman" w:cs="Times New Roman"/>
          <w:bCs/>
          <w:lang w:val="en-US"/>
        </w:rPr>
      </w:pPr>
      <w:r>
        <w:rPr>
          <w:rFonts w:hint="eastAsia" w:ascii="Times New Roman" w:hAnsi="Times New Roman" w:cs="Times New Roman"/>
          <w:bCs/>
          <w:lang w:val="en-US"/>
        </w:rPr>
        <w:t>2</w:t>
      </w:r>
      <w:r>
        <w:rPr>
          <w:rFonts w:ascii="Times New Roman" w:hAnsi="Times New Roman" w:cs="Times New Roman"/>
          <w:bCs/>
          <w:lang w:val="en-US"/>
        </w:rPr>
        <w:t>.</w:t>
      </w:r>
      <w:r>
        <w:rPr>
          <w:rFonts w:hint="eastAsia" w:ascii="Times New Roman" w:hAnsi="Times New Roman" w:cs="Times New Roman"/>
          <w:lang w:val="en-US"/>
        </w:rPr>
        <w:t>提升住宅建筑建设</w:t>
      </w:r>
      <w:r>
        <w:rPr>
          <w:rFonts w:ascii="Times New Roman" w:hAnsi="Times New Roman" w:cs="Times New Roman"/>
          <w:lang w:val="en-US"/>
        </w:rPr>
        <w:t>质量</w:t>
      </w:r>
    </w:p>
    <w:p w14:paraId="7F589ACA">
      <w:pPr>
        <w:spacing w:after="0" w:line="360" w:lineRule="auto"/>
        <w:ind w:firstLine="640"/>
      </w:pPr>
      <w:r>
        <w:rPr>
          <w:rFonts w:hint="eastAsia"/>
        </w:rPr>
        <w:t>加强住宅工程质量管理，推动实施举牌验收、“业主预看房”、住宅分户验收、住宅“两书”等制度，落实住宅工程质量信息公示制度，强化住宅交付信息公示情况抽查。加强施工质量管控，开展专项整治与执法</w:t>
      </w:r>
      <w:r>
        <w:rPr>
          <w:rFonts w:hint="eastAsia"/>
          <w:lang w:eastAsia="zh-CN"/>
        </w:rPr>
        <w:t>工作</w:t>
      </w:r>
      <w:r>
        <w:rPr>
          <w:rFonts w:hint="eastAsia"/>
        </w:rPr>
        <w:t>。试点建筑工程质量评价，鼓励新建住宅项目户内全装修。</w:t>
      </w:r>
      <w:r>
        <w:t>在土地出让、规划许可等阶段明确绿色低碳标准</w:t>
      </w:r>
      <w:r>
        <w:rPr>
          <w:rFonts w:hint="eastAsia"/>
        </w:rPr>
        <w:t>、“好房子”建设指标等</w:t>
      </w:r>
      <w:r>
        <w:t>要求</w:t>
      </w:r>
      <w:r>
        <w:rPr>
          <w:rFonts w:hint="eastAsia"/>
        </w:rPr>
        <w:t>。</w:t>
      </w:r>
      <w:r>
        <w:t>到2030年，新建居住建筑中星级以上绿色建筑占比达80%</w:t>
      </w:r>
      <w:r>
        <w:rPr>
          <w:rFonts w:hint="eastAsia"/>
        </w:rPr>
        <w:t>、</w:t>
      </w:r>
      <w:r>
        <w:t>装配式建筑占比达60%。</w:t>
      </w:r>
    </w:p>
    <w:p w14:paraId="2BFD73F0">
      <w:pPr>
        <w:pStyle w:val="4"/>
        <w:spacing w:after="0" w:line="360" w:lineRule="auto"/>
        <w:ind w:firstLine="643"/>
        <w:rPr>
          <w:rFonts w:ascii="Times New Roman" w:hAnsi="Times New Roman" w:cs="Times New Roman"/>
          <w:bCs/>
          <w:lang w:val="en-US"/>
        </w:rPr>
      </w:pPr>
      <w:r>
        <w:rPr>
          <w:rFonts w:hint="eastAsia" w:ascii="Times New Roman" w:hAnsi="Times New Roman" w:cs="Times New Roman"/>
          <w:bCs/>
          <w:lang w:val="en-US"/>
        </w:rPr>
        <w:t>3</w:t>
      </w:r>
      <w:r>
        <w:rPr>
          <w:rFonts w:ascii="Times New Roman" w:hAnsi="Times New Roman" w:cs="Times New Roman"/>
          <w:bCs/>
          <w:lang w:val="en-US"/>
        </w:rPr>
        <w:t>.</w:t>
      </w:r>
      <w:r>
        <w:rPr>
          <w:rFonts w:hint="eastAsia" w:ascii="Times New Roman" w:hAnsi="Times New Roman" w:cs="Times New Roman"/>
          <w:lang w:val="en-US"/>
        </w:rPr>
        <w:t>提升住宅</w:t>
      </w:r>
      <w:r>
        <w:rPr>
          <w:rFonts w:ascii="Times New Roman" w:hAnsi="Times New Roman" w:cs="Times New Roman"/>
        </w:rPr>
        <w:t>物业服务质量</w:t>
      </w:r>
    </w:p>
    <w:p w14:paraId="47F6F883">
      <w:pPr>
        <w:spacing w:after="0" w:line="360" w:lineRule="auto"/>
        <w:ind w:firstLine="640"/>
      </w:pPr>
      <w:r>
        <w:t>探索社区党组织领导下的居委会、业委会、物业服务企业协调运行新模式。大力推广业主共同决定事项电子投票和重大事项公告平台，规范住宅小区议事决策机制。推动物业服务信息与公共收益公开，指导物业服务企业按约自查并公开履约情况。指导镇街社区加强小区业主组织人选把关，严格小区业主组织履职监督。加强物业服务企业及项目负责人信用管理，探索信用信息在招投标、选聘等环节的应用。鼓励有条件的物业服务企业向养老、托幼、家政等领域延伸。</w:t>
      </w:r>
      <w:r>
        <w:rPr>
          <w:rFonts w:ascii="仿宋_GB2312" w:hAnsi="仿宋_GB2312" w:cs="仿宋_GB2312"/>
        </w:rPr>
        <w:t>“</w:t>
      </w:r>
      <w:r>
        <w:t>十五五</w:t>
      </w:r>
      <w:r>
        <w:rPr>
          <w:rFonts w:ascii="仿宋_GB2312" w:hAnsi="仿宋_GB2312" w:cs="仿宋_GB2312"/>
        </w:rPr>
        <w:t>”</w:t>
      </w:r>
      <w:r>
        <w:t>期间，推进全市建设30个</w:t>
      </w:r>
      <w:r>
        <w:rPr>
          <w:rFonts w:ascii="仿宋_GB2312" w:hAnsi="仿宋_GB2312" w:cs="仿宋_GB2312"/>
        </w:rPr>
        <w:t>“</w:t>
      </w:r>
      <w:r>
        <w:t>莞香家园</w:t>
      </w:r>
      <w:r>
        <w:rPr>
          <w:rFonts w:ascii="仿宋_GB2312" w:hAnsi="仿宋_GB2312" w:cs="仿宋_GB2312"/>
        </w:rPr>
        <w:t>”</w:t>
      </w:r>
      <w:r>
        <w:t>、50个</w:t>
      </w:r>
      <w:r>
        <w:rPr>
          <w:rFonts w:ascii="仿宋_GB2312" w:hAnsi="仿宋_GB2312" w:cs="仿宋_GB2312"/>
        </w:rPr>
        <w:t>“</w:t>
      </w:r>
      <w:r>
        <w:t>美好家园</w:t>
      </w:r>
      <w:r>
        <w:rPr>
          <w:rFonts w:ascii="仿宋_GB2312" w:hAnsi="仿宋_GB2312" w:cs="仿宋_GB2312"/>
        </w:rPr>
        <w:t>”</w:t>
      </w:r>
      <w:r>
        <w:t>住宅小区。</w:t>
      </w:r>
    </w:p>
    <w:p w14:paraId="4A1A6315">
      <w:pPr>
        <w:pStyle w:val="4"/>
        <w:spacing w:after="0" w:line="360" w:lineRule="auto"/>
        <w:ind w:firstLine="643"/>
        <w:rPr>
          <w:rFonts w:ascii="Times New Roman" w:hAnsi="Times New Roman" w:cs="Times New Roman"/>
          <w:bCs/>
          <w:lang w:val="en-US"/>
        </w:rPr>
      </w:pPr>
      <w:bookmarkStart w:id="64" w:name="_Toc226725734"/>
      <w:r>
        <w:rPr>
          <w:rFonts w:hint="eastAsia" w:ascii="Times New Roman" w:hAnsi="Times New Roman" w:cs="Times New Roman"/>
          <w:bCs/>
          <w:lang w:val="en-US"/>
        </w:rPr>
        <w:t>4</w:t>
      </w:r>
      <w:r>
        <w:rPr>
          <w:rFonts w:ascii="Times New Roman" w:hAnsi="Times New Roman" w:cs="Times New Roman"/>
          <w:bCs/>
          <w:lang w:val="en-US"/>
        </w:rPr>
        <w:t>.</w:t>
      </w:r>
      <w:r>
        <w:rPr>
          <w:rFonts w:hint="eastAsia" w:ascii="Times New Roman" w:hAnsi="Times New Roman" w:cs="Times New Roman"/>
          <w:bCs/>
          <w:lang w:val="en-US"/>
        </w:rPr>
        <w:t>优化住宅配套设施建设</w:t>
      </w:r>
    </w:p>
    <w:p w14:paraId="7E5381D4">
      <w:pPr>
        <w:spacing w:after="0" w:line="360" w:lineRule="auto"/>
        <w:ind w:firstLine="640" w:firstLineChars="200"/>
      </w:pPr>
      <w:r>
        <w:rPr>
          <w:rFonts w:hint="eastAsia"/>
        </w:rPr>
        <w:t>推动新建居住社区按照未来社区（完整社区）标准规划建设。落实各类配套设施与新建居住社区同步规划、同步建设、同步验收、同步交付，重点保障“一老一小”公共服务设施、便民商业服务设施、公共活动场地以及道路、市政基础设施及时落地。</w:t>
      </w:r>
    </w:p>
    <w:p w14:paraId="17B803B0">
      <w:pPr>
        <w:pStyle w:val="4"/>
        <w:spacing w:after="0" w:line="360" w:lineRule="auto"/>
        <w:ind w:firstLine="643"/>
        <w:rPr>
          <w:rFonts w:ascii="Times New Roman" w:hAnsi="Times New Roman" w:cs="Times New Roman"/>
          <w:bCs/>
          <w:lang w:val="en-US"/>
        </w:rPr>
      </w:pPr>
      <w:r>
        <w:rPr>
          <w:rFonts w:hint="eastAsia" w:ascii="Times New Roman" w:hAnsi="Times New Roman" w:cs="Times New Roman"/>
          <w:bCs/>
          <w:lang w:val="en-US"/>
        </w:rPr>
        <w:t>5.</w:t>
      </w:r>
      <w:r>
        <w:rPr>
          <w:rFonts w:ascii="Times New Roman" w:hAnsi="Times New Roman" w:cs="Times New Roman"/>
          <w:bCs/>
          <w:lang w:val="en-US"/>
        </w:rPr>
        <w:t>加强农房建设管理及风貌提升管控</w:t>
      </w:r>
    </w:p>
    <w:p w14:paraId="033FFD9D">
      <w:pPr>
        <w:spacing w:after="0" w:line="360" w:lineRule="auto"/>
        <w:ind w:firstLine="640"/>
      </w:pPr>
      <w:r>
        <w:rPr>
          <w:rFonts w:hint="eastAsia"/>
        </w:rPr>
        <w:t>实施</w:t>
      </w:r>
      <w:r>
        <w:t>市农民安居房管理办法，积极开展农房建设管理立法研究。加强宅基地管控，严控新增单家独栋宅基地。推动镇街落实农房建设</w:t>
      </w:r>
      <w:r>
        <w:rPr>
          <w:rFonts w:hint="eastAsia" w:ascii="仿宋_GB2312" w:hAnsi="仿宋_GB2312" w:cs="仿宋_GB2312"/>
        </w:rPr>
        <w:t>“</w:t>
      </w:r>
      <w:r>
        <w:t>禁建区、限建区、可建区</w:t>
      </w:r>
      <w:r>
        <w:rPr>
          <w:rFonts w:hint="eastAsia" w:ascii="仿宋_GB2312" w:hAnsi="仿宋_GB2312" w:cs="仿宋_GB2312"/>
        </w:rPr>
        <w:t>”</w:t>
      </w:r>
      <w:r>
        <w:t>划定、备案及公示管理，严格执行</w:t>
      </w:r>
      <w:r>
        <w:rPr>
          <w:rFonts w:hint="eastAsia" w:ascii="仿宋_GB2312" w:hAnsi="仿宋_GB2312" w:cs="仿宋_GB2312"/>
        </w:rPr>
        <w:t>“</w:t>
      </w:r>
      <w:r>
        <w:t>五公开</w:t>
      </w:r>
      <w:r>
        <w:rPr>
          <w:rFonts w:hint="eastAsia" w:ascii="仿宋_GB2312" w:hAnsi="仿宋_GB2312" w:cs="仿宋_GB2312"/>
        </w:rPr>
        <w:t>”“</w:t>
      </w:r>
      <w:r>
        <w:t>三到场</w:t>
      </w:r>
      <w:r>
        <w:rPr>
          <w:rFonts w:hint="eastAsia" w:ascii="仿宋_GB2312" w:hAnsi="仿宋_GB2312" w:cs="仿宋_GB2312"/>
        </w:rPr>
        <w:t>”</w:t>
      </w:r>
      <w:r>
        <w:t>制度，全面推行</w:t>
      </w:r>
      <w:r>
        <w:rPr>
          <w:rFonts w:hint="eastAsia" w:ascii="仿宋_GB2312" w:hAnsi="仿宋_GB2312" w:cs="仿宋_GB2312"/>
        </w:rPr>
        <w:t>“</w:t>
      </w:r>
      <w:r>
        <w:t>带图审批、按图施工、依图验收</w:t>
      </w:r>
      <w:r>
        <w:rPr>
          <w:rFonts w:hint="eastAsia" w:ascii="仿宋_GB2312" w:hAnsi="仿宋_GB2312" w:cs="仿宋_GB2312"/>
        </w:rPr>
        <w:t>”</w:t>
      </w:r>
      <w:r>
        <w:t>，力争</w:t>
      </w:r>
      <w:r>
        <w:rPr>
          <w:rFonts w:hint="eastAsia" w:ascii="仿宋_GB2312" w:hAnsi="仿宋_GB2312" w:cs="仿宋_GB2312"/>
        </w:rPr>
        <w:t>“</w:t>
      </w:r>
      <w:r>
        <w:t>十五五</w:t>
      </w:r>
      <w:r>
        <w:rPr>
          <w:rFonts w:hint="eastAsia" w:ascii="仿宋_GB2312" w:hAnsi="仿宋_GB2312" w:cs="仿宋_GB2312"/>
        </w:rPr>
        <w:t>”</w:t>
      </w:r>
      <w:r>
        <w:t>期间新建农房验收率达到95%以上。建立常态化农房安全巡查机制，严肃查处违规行为。</w:t>
      </w:r>
    </w:p>
    <w:p w14:paraId="7A8B6B50">
      <w:pPr>
        <w:pStyle w:val="3"/>
        <w:spacing w:after="0" w:line="360" w:lineRule="auto"/>
        <w:ind w:firstLine="640"/>
        <w:rPr>
          <w:rFonts w:ascii="Times New Roman" w:hAnsi="Times New Roman"/>
        </w:rPr>
      </w:pPr>
      <w:bookmarkStart w:id="65" w:name="_Toc28567"/>
      <w:r>
        <w:rPr>
          <w:rFonts w:ascii="Times New Roman" w:hAnsi="Times New Roman"/>
        </w:rPr>
        <w:t>（五）</w:t>
      </w:r>
      <w:bookmarkStart w:id="66" w:name="_Hlk213689681"/>
      <w:r>
        <w:rPr>
          <w:rFonts w:ascii="Times New Roman" w:hAnsi="Times New Roman"/>
        </w:rPr>
        <w:t>推动存量提质，高质量开展城市更新</w:t>
      </w:r>
      <w:bookmarkEnd w:id="64"/>
      <w:bookmarkEnd w:id="65"/>
      <w:bookmarkEnd w:id="66"/>
    </w:p>
    <w:p w14:paraId="17266721">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1.协同推进城市更新重点片区</w:t>
      </w:r>
      <w:r>
        <w:rPr>
          <w:rFonts w:hint="eastAsia" w:ascii="Times New Roman" w:hAnsi="Times New Roman" w:cs="Times New Roman"/>
          <w:bCs/>
          <w:lang w:val="en-US"/>
        </w:rPr>
        <w:t>建设</w:t>
      </w:r>
    </w:p>
    <w:p w14:paraId="1F25D84D">
      <w:pPr>
        <w:widowControl/>
        <w:spacing w:after="0" w:line="360" w:lineRule="auto"/>
        <w:ind w:firstLine="640"/>
      </w:pPr>
      <w:r>
        <w:rPr>
          <w:rFonts w:hint="eastAsia"/>
        </w:rPr>
        <w:t>编制市城市更新专项规划，聚焦14个重点镇街，启动建设25个城市更新重点片区。根据片区体检成果，统筹推进片区内的城镇老旧小区改造、城中村改造、老旧街区（厂区）改造、危旧房改造等城市更新重点任务，谋划建设一批特色鲜明、效果突出的城市更新项目。</w:t>
      </w:r>
    </w:p>
    <w:p w14:paraId="05822E13">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2.持续推进城镇老旧小区改造</w:t>
      </w:r>
    </w:p>
    <w:p w14:paraId="1E6DD75D">
      <w:pPr>
        <w:widowControl/>
        <w:spacing w:after="0" w:line="360" w:lineRule="auto"/>
        <w:ind w:firstLine="640"/>
        <w:jc w:val="left"/>
        <w:rPr>
          <w:b/>
          <w:bCs/>
          <w:szCs w:val="32"/>
          <w:lang w:bidi="zh-CN"/>
        </w:rPr>
      </w:pPr>
      <w:r>
        <w:t>将</w:t>
      </w:r>
      <w:r>
        <w:rPr>
          <w:rFonts w:hint="eastAsia"/>
        </w:rPr>
        <w:t>建成满20年</w:t>
      </w:r>
      <w:r>
        <w:t>、居民改造意愿高的老旧小区，动态纳入</w:t>
      </w:r>
      <w:r>
        <w:rPr>
          <w:rFonts w:ascii="仿宋_GB2312" w:hAnsi="仿宋_GB2312" w:cs="仿宋_GB2312"/>
        </w:rPr>
        <w:t>“</w:t>
      </w:r>
      <w:r>
        <w:t>十五五</w:t>
      </w:r>
      <w:r>
        <w:rPr>
          <w:rFonts w:ascii="仿宋_GB2312" w:hAnsi="仿宋_GB2312" w:cs="仿宋_GB2312"/>
        </w:rPr>
        <w:t>”</w:t>
      </w:r>
      <w:r>
        <w:t>改造计划项目库，将结构安全风险高的老旧小区作为重点改造项目。</w:t>
      </w:r>
      <w:r>
        <w:rPr>
          <w:kern w:val="0"/>
          <w:szCs w:val="32"/>
        </w:rPr>
        <w:t>积极申请中央、省、地方政府各类资金支持，</w:t>
      </w:r>
      <w:r>
        <w:t>鼓励居民和社会资本参与老旧小区改造，加强精细化管理和运营，提升老旧小区</w:t>
      </w:r>
      <w:r>
        <w:rPr>
          <w:rFonts w:ascii="仿宋_GB2312" w:hAnsi="仿宋_GB2312" w:cs="仿宋_GB2312"/>
        </w:rPr>
        <w:t>“</w:t>
      </w:r>
      <w:r>
        <w:t>造血</w:t>
      </w:r>
      <w:r>
        <w:rPr>
          <w:rFonts w:ascii="仿宋_GB2312" w:hAnsi="仿宋_GB2312" w:cs="仿宋_GB2312"/>
        </w:rPr>
        <w:t>”</w:t>
      </w:r>
      <w:r>
        <w:t>能力。</w:t>
      </w:r>
      <w:r>
        <w:rPr>
          <w:rFonts w:ascii="仿宋_GB2312" w:hAnsi="仿宋_GB2312" w:cs="仿宋_GB2312"/>
        </w:rPr>
        <w:t>“</w:t>
      </w:r>
      <w:r>
        <w:t>十五五</w:t>
      </w:r>
      <w:r>
        <w:rPr>
          <w:rFonts w:ascii="仿宋_GB2312" w:hAnsi="仿宋_GB2312" w:cs="仿宋_GB2312"/>
        </w:rPr>
        <w:t>”</w:t>
      </w:r>
      <w:r>
        <w:t>期间，全市</w:t>
      </w:r>
      <w:r>
        <w:rPr>
          <w:rFonts w:hint="eastAsia"/>
        </w:rPr>
        <w:t>计划开工改造</w:t>
      </w:r>
      <w:r>
        <w:t>不少于500个老旧小区。</w:t>
      </w:r>
    </w:p>
    <w:p w14:paraId="70F235EF">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3.大力推动城中村改造</w:t>
      </w:r>
    </w:p>
    <w:p w14:paraId="002DD987">
      <w:pPr>
        <w:spacing w:after="0" w:line="360" w:lineRule="auto"/>
        <w:ind w:firstLine="640"/>
      </w:pPr>
      <w:r>
        <w:t>积极落实货币化安置政策，加快探索利用专项借款资金实施</w:t>
      </w:r>
      <w:r>
        <w:rPr>
          <w:rFonts w:ascii="仿宋_GB2312" w:hAnsi="仿宋_GB2312" w:cs="仿宋_GB2312"/>
        </w:rPr>
        <w:t>“</w:t>
      </w:r>
      <w:r>
        <w:t>房票</w:t>
      </w:r>
      <w:r>
        <w:rPr>
          <w:rFonts w:ascii="仿宋_GB2312" w:hAnsi="仿宋_GB2312" w:cs="仿宋_GB2312"/>
        </w:rPr>
        <w:t>”</w:t>
      </w:r>
      <w:r>
        <w:t>安置、购买存量商品房用作安置房。鼓励村民将富</w:t>
      </w:r>
      <w:r>
        <w:rPr>
          <w:rFonts w:hint="eastAsia"/>
        </w:rPr>
        <w:t>余的安置房交由专业机构统租运营。不具备拆除新建条件的城中村，应当纳入整治提升的范围，按照文明城市标准实施管理。</w:t>
      </w:r>
      <w:r>
        <w:rPr>
          <w:rFonts w:hint="eastAsia" w:ascii="Times New Roman" w:hAnsi="Times New Roman" w:cs="Times New Roman"/>
          <w:highlight w:val="none"/>
        </w:rPr>
        <w:t>“十五五”期间，持续推动已纳入城中村改造信息系统的拆除新建类城中村改造项目（居住方向）12个，每个镇街每年启动不少于1个整治提升类城中村改造项目（根据年度改造计划实际情况调整）。</w:t>
      </w:r>
    </w:p>
    <w:p w14:paraId="359FE6F8">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4.加快推动城市危旧房改造</w:t>
      </w:r>
    </w:p>
    <w:p w14:paraId="412847EF">
      <w:pPr>
        <w:spacing w:after="0" w:line="360" w:lineRule="auto"/>
        <w:ind w:firstLine="640"/>
      </w:pPr>
      <w:r>
        <w:t>动态更新危旧房底数，建立危旧房改造项目储备库，合理确定近期、中期、远期改造项目清单。加快拆除改造D级危险住房，积极稳妥实施C级危险住房改造，应改尽改。对城市危房、建筑结构差、无维修加固价值等老旧</w:t>
      </w:r>
      <w:r>
        <w:rPr>
          <w:rFonts w:hint="eastAsia"/>
        </w:rPr>
        <w:t>住房</w:t>
      </w:r>
      <w:r>
        <w:t>，鼓励开展自主更新</w:t>
      </w:r>
      <w:r>
        <w:rPr>
          <w:rFonts w:hint="eastAsia"/>
        </w:rPr>
        <w:t>、原拆原建，在土地、规划、不动产登记、金融、财政等方面给予政策支持</w:t>
      </w:r>
      <w:r>
        <w:t>。</w:t>
      </w:r>
      <w:r>
        <w:rPr>
          <w:rFonts w:ascii="仿宋_GB2312" w:hAnsi="仿宋_GB2312" w:cs="仿宋_GB2312"/>
        </w:rPr>
        <w:t>“</w:t>
      </w:r>
      <w:r>
        <w:t>十五五</w:t>
      </w:r>
      <w:r>
        <w:rPr>
          <w:rFonts w:ascii="仿宋_GB2312" w:hAnsi="仿宋_GB2312" w:cs="仿宋_GB2312"/>
        </w:rPr>
        <w:t>”</w:t>
      </w:r>
      <w:r>
        <w:t>期间，完成危旧房改造2000套。</w:t>
      </w:r>
    </w:p>
    <w:p w14:paraId="0B877E7F">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5.强化农村老旧房屋管控和片区整治</w:t>
      </w:r>
    </w:p>
    <w:p w14:paraId="214B0089">
      <w:pPr>
        <w:spacing w:after="0" w:line="360" w:lineRule="auto"/>
        <w:ind w:firstLine="640"/>
      </w:pPr>
      <w:r>
        <w:t>建立</w:t>
      </w:r>
      <w:r>
        <w:rPr>
          <w:rFonts w:ascii="仿宋_GB2312" w:hAnsi="仿宋_GB2312" w:cs="仿宋_GB2312"/>
        </w:rPr>
        <w:t>“</w:t>
      </w:r>
      <w:r>
        <w:t>日常有巡查、定期有体检、重点有监控、风险有防范、损失有保障</w:t>
      </w:r>
      <w:r>
        <w:rPr>
          <w:rFonts w:ascii="仿宋_GB2312" w:hAnsi="仿宋_GB2312" w:cs="仿宋_GB2312"/>
        </w:rPr>
        <w:t>”</w:t>
      </w:r>
      <w:r>
        <w:t>的房屋安全管理机制，严格落实</w:t>
      </w:r>
      <w:r>
        <w:rPr>
          <w:rFonts w:ascii="仿宋_GB2312" w:hAnsi="仿宋_GB2312" w:cs="仿宋_GB2312"/>
        </w:rPr>
        <w:t>“</w:t>
      </w:r>
      <w:r>
        <w:t>危房不进人、人不进危房</w:t>
      </w:r>
      <w:r>
        <w:rPr>
          <w:rFonts w:ascii="仿宋_GB2312" w:hAnsi="仿宋_GB2312" w:cs="仿宋_GB2312"/>
        </w:rPr>
        <w:t>”</w:t>
      </w:r>
      <w:r>
        <w:t>。结合地质灾害隐患点、易涝点等情况，研究划定老旧房屋风险等级，制定针对性措施，指导镇街（园区）落实差异化管控。结合城中村改造、</w:t>
      </w:r>
      <w:r>
        <w:rPr>
          <w:rFonts w:ascii="仿宋_GB2312" w:hAnsi="仿宋_GB2312" w:cs="仿宋_GB2312"/>
        </w:rPr>
        <w:t>“</w:t>
      </w:r>
      <w:r>
        <w:t>百千万工程</w:t>
      </w:r>
      <w:r>
        <w:rPr>
          <w:rFonts w:ascii="仿宋_GB2312" w:hAnsi="仿宋_GB2312" w:cs="仿宋_GB2312"/>
        </w:rPr>
        <w:t>”</w:t>
      </w:r>
      <w:r>
        <w:t>等工作创新推进老旧房屋片区改造，削减老旧房屋规模。</w:t>
      </w:r>
    </w:p>
    <w:p w14:paraId="7E128267">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6.</w:t>
      </w:r>
      <w:r>
        <w:rPr>
          <w:rFonts w:ascii="Times New Roman" w:hAnsi="Times New Roman" w:cs="Times New Roman"/>
          <w:bCs/>
        </w:rPr>
        <w:t>因地制宜实施未来社区（完整社区）建设</w:t>
      </w:r>
    </w:p>
    <w:p w14:paraId="1B52A007">
      <w:pPr>
        <w:spacing w:after="0" w:line="360" w:lineRule="auto"/>
        <w:ind w:firstLine="640"/>
      </w:pPr>
      <w:r>
        <w:t>结合</w:t>
      </w:r>
      <w:r>
        <w:rPr>
          <w:rFonts w:ascii="仿宋_GB2312" w:hAnsi="仿宋_GB2312" w:cs="仿宋_GB2312"/>
        </w:rPr>
        <w:t>“</w:t>
      </w:r>
      <w:r>
        <w:t>百千万工程</w:t>
      </w:r>
      <w:r>
        <w:rPr>
          <w:rFonts w:ascii="仿宋_GB2312" w:hAnsi="仿宋_GB2312" w:cs="仿宋_GB2312"/>
        </w:rPr>
        <w:t>”</w:t>
      </w:r>
      <w:r>
        <w:t>、城中村改造、嵌入式服务设施建设、老旧小区改造等工作，因地制宜谋划一批未来社区（完整社区）建设。聚焦</w:t>
      </w:r>
      <w:r>
        <w:rPr>
          <w:rFonts w:ascii="仿宋_GB2312" w:hAnsi="仿宋_GB2312" w:cs="仿宋_GB2312"/>
        </w:rPr>
        <w:t>“</w:t>
      </w:r>
      <w:r>
        <w:t>一老一小</w:t>
      </w:r>
      <w:r>
        <w:rPr>
          <w:rFonts w:ascii="仿宋_GB2312" w:hAnsi="仿宋_GB2312" w:cs="仿宋_GB2312"/>
        </w:rPr>
        <w:t>”</w:t>
      </w:r>
      <w:r>
        <w:t>需求，推进无障碍适老化建设改造，补齐养老、托育、健身、停车等设施短板。</w:t>
      </w:r>
      <w:r>
        <w:rPr>
          <w:rFonts w:ascii="仿宋_GB2312" w:hAnsi="仿宋_GB2312" w:cs="仿宋_GB2312"/>
        </w:rPr>
        <w:t>“</w:t>
      </w:r>
      <w:r>
        <w:t>十五五</w:t>
      </w:r>
      <w:r>
        <w:rPr>
          <w:rFonts w:ascii="仿宋_GB2312" w:hAnsi="仿宋_GB2312" w:cs="仿宋_GB2312"/>
        </w:rPr>
        <w:t>”</w:t>
      </w:r>
      <w:r>
        <w:t>时期，建设城市未来社区（完整社区）10个。</w:t>
      </w:r>
    </w:p>
    <w:p w14:paraId="61F1B0DF">
      <w:pPr>
        <w:pStyle w:val="3"/>
        <w:spacing w:after="0" w:line="360" w:lineRule="auto"/>
        <w:ind w:firstLine="640"/>
        <w:rPr>
          <w:rFonts w:ascii="Times New Roman" w:hAnsi="Times New Roman"/>
        </w:rPr>
      </w:pPr>
      <w:bookmarkStart w:id="67" w:name="_Toc21699"/>
      <w:bookmarkStart w:id="68" w:name="_Toc226725735"/>
      <w:r>
        <w:rPr>
          <w:rFonts w:ascii="Times New Roman" w:hAnsi="Times New Roman"/>
        </w:rPr>
        <w:t>（六）</w:t>
      </w:r>
      <w:bookmarkStart w:id="69" w:name="_Hlk213689253"/>
      <w:r>
        <w:rPr>
          <w:rFonts w:ascii="Times New Roman" w:hAnsi="Times New Roman"/>
        </w:rPr>
        <w:t>强化数字赋能，提升住房管理能力与服务质效</w:t>
      </w:r>
      <w:bookmarkEnd w:id="67"/>
      <w:bookmarkEnd w:id="68"/>
      <w:bookmarkEnd w:id="69"/>
    </w:p>
    <w:p w14:paraId="0D2DE831">
      <w:pPr>
        <w:spacing w:after="0" w:line="360" w:lineRule="auto"/>
        <w:ind w:firstLine="643" w:firstLineChars="200"/>
        <w:outlineLvl w:val="2"/>
        <w:rPr>
          <w:bCs/>
          <w:szCs w:val="32"/>
          <w:lang w:bidi="zh-CN"/>
        </w:rPr>
      </w:pPr>
      <w:r>
        <w:rPr>
          <w:b/>
          <w:bCs/>
          <w:szCs w:val="32"/>
          <w:lang w:bidi="zh-CN"/>
        </w:rPr>
        <w:t>1.</w:t>
      </w:r>
      <w:bookmarkStart w:id="70" w:name="_Hlk215657038"/>
      <w:r>
        <w:rPr>
          <w:b/>
          <w:bCs/>
          <w:szCs w:val="32"/>
          <w:lang w:bidi="zh-CN"/>
        </w:rPr>
        <w:t>全力构建完善全市房屋数据底座</w:t>
      </w:r>
      <w:bookmarkEnd w:id="70"/>
    </w:p>
    <w:p w14:paraId="59C21796">
      <w:pPr>
        <w:spacing w:after="0" w:line="360" w:lineRule="auto"/>
        <w:ind w:firstLine="643"/>
      </w:pPr>
      <w:r>
        <w:rPr>
          <w:szCs w:val="32"/>
        </w:rPr>
        <w:t>构建东莞住建领域全市</w:t>
      </w:r>
      <w:r>
        <w:rPr>
          <w:rFonts w:ascii="仿宋_GB2312" w:hAnsi="仿宋_GB2312" w:cs="仿宋_GB2312"/>
          <w:szCs w:val="36"/>
        </w:rPr>
        <w:t>“</w:t>
      </w:r>
      <w:r>
        <w:rPr>
          <w:szCs w:val="32"/>
        </w:rPr>
        <w:t>房屋一张图</w:t>
      </w:r>
      <w:r>
        <w:rPr>
          <w:rFonts w:ascii="仿宋_GB2312" w:hAnsi="仿宋_GB2312" w:cs="仿宋_GB2312"/>
          <w:szCs w:val="36"/>
        </w:rPr>
        <w:t>”</w:t>
      </w:r>
      <w:r>
        <w:rPr>
          <w:szCs w:val="32"/>
        </w:rPr>
        <w:t>，</w:t>
      </w:r>
      <w:r>
        <w:t>并持续融合保障性住房管理、老旧小区改造、城市体检等业务数据。进一步完善房屋单体全生命周期的数据汇聚，实现</w:t>
      </w:r>
      <w:r>
        <w:rPr>
          <w:rFonts w:ascii="仿宋_GB2312" w:hAnsi="仿宋_GB2312" w:cs="仿宋_GB2312"/>
        </w:rPr>
        <w:t>“</w:t>
      </w:r>
      <w:r>
        <w:t>房屋一张图</w:t>
      </w:r>
      <w:r>
        <w:rPr>
          <w:rFonts w:ascii="仿宋_GB2312" w:hAnsi="仿宋_GB2312" w:cs="仿宋_GB2312"/>
        </w:rPr>
        <w:t>”</w:t>
      </w:r>
      <w:r>
        <w:t>全域覆盖和动态更新。</w:t>
      </w:r>
    </w:p>
    <w:p w14:paraId="4C0380EA">
      <w:pPr>
        <w:spacing w:after="0" w:line="360" w:lineRule="auto"/>
        <w:ind w:firstLine="643" w:firstLineChars="200"/>
        <w:outlineLvl w:val="2"/>
        <w:rPr>
          <w:b/>
          <w:bCs/>
          <w:szCs w:val="32"/>
          <w:lang w:bidi="zh-CN"/>
        </w:rPr>
      </w:pPr>
      <w:r>
        <w:rPr>
          <w:b/>
          <w:bCs/>
          <w:szCs w:val="32"/>
          <w:lang w:bidi="zh-CN"/>
        </w:rPr>
        <w:t>2.</w:t>
      </w:r>
      <w:bookmarkStart w:id="71" w:name="_Hlk215657053"/>
      <w:r>
        <w:rPr>
          <w:b/>
          <w:bCs/>
          <w:szCs w:val="32"/>
          <w:lang w:bidi="zh-CN"/>
        </w:rPr>
        <w:t>大力推进CIM</w:t>
      </w:r>
      <w:r>
        <w:rPr>
          <w:rFonts w:hint="eastAsia" w:ascii="仿宋_GB2312" w:hAnsi="仿宋_GB2312" w:cs="仿宋_GB2312"/>
          <w:b/>
          <w:bCs/>
          <w:szCs w:val="32"/>
          <w:lang w:bidi="zh-CN"/>
        </w:rPr>
        <w:t>+</w:t>
      </w:r>
      <w:r>
        <w:rPr>
          <w:b/>
          <w:bCs/>
          <w:szCs w:val="32"/>
          <w:lang w:bidi="zh-CN"/>
        </w:rPr>
        <w:t>应用建设及CIM</w:t>
      </w:r>
      <w:r>
        <w:rPr>
          <w:rFonts w:hint="eastAsia" w:ascii="仿宋_GB2312" w:hAnsi="仿宋_GB2312" w:cs="仿宋_GB2312"/>
          <w:b/>
          <w:bCs/>
          <w:szCs w:val="32"/>
          <w:lang w:bidi="zh-CN"/>
        </w:rPr>
        <w:t>+</w:t>
      </w:r>
      <w:r>
        <w:rPr>
          <w:b/>
          <w:bCs/>
          <w:szCs w:val="32"/>
          <w:lang w:bidi="zh-CN"/>
        </w:rPr>
        <w:t>数据共享新模式</w:t>
      </w:r>
      <w:bookmarkEnd w:id="71"/>
    </w:p>
    <w:p w14:paraId="4E864C57">
      <w:pPr>
        <w:spacing w:after="0" w:line="360" w:lineRule="auto"/>
        <w:ind w:firstLine="643"/>
      </w:pPr>
      <w:r>
        <w:t>深入推进</w:t>
      </w:r>
      <w:r>
        <w:rPr>
          <w:rFonts w:ascii="仿宋_GB2312" w:hAnsi="仿宋_GB2312" w:cs="仿宋_GB2312"/>
        </w:rPr>
        <w:t>“</w:t>
      </w:r>
      <w:r>
        <w:t>CIM</w:t>
      </w:r>
      <w:r>
        <w:rPr>
          <w:rFonts w:hint="eastAsia" w:ascii="仿宋_GB2312" w:hAnsi="仿宋_GB2312" w:cs="仿宋_GB2312"/>
        </w:rPr>
        <w:t>+</w:t>
      </w:r>
      <w:r>
        <w:t>消防</w:t>
      </w:r>
      <w:r>
        <w:rPr>
          <w:rFonts w:ascii="仿宋_GB2312" w:hAnsi="仿宋_GB2312" w:cs="仿宋_GB2312"/>
        </w:rPr>
        <w:t>”“</w:t>
      </w:r>
      <w:r>
        <w:t>CIM</w:t>
      </w:r>
      <w:r>
        <w:rPr>
          <w:rFonts w:hint="eastAsia" w:ascii="仿宋_GB2312" w:hAnsi="仿宋_GB2312" w:cs="仿宋_GB2312"/>
        </w:rPr>
        <w:t>+</w:t>
      </w:r>
      <w:r>
        <w:t>应急</w:t>
      </w:r>
      <w:r>
        <w:rPr>
          <w:rFonts w:ascii="仿宋_GB2312" w:hAnsi="仿宋_GB2312" w:cs="仿宋_GB2312"/>
        </w:rPr>
        <w:t>”</w:t>
      </w:r>
      <w:r>
        <w:t>数据共享等业务管理场景的试点应用，打造以CIM平台为核心的数据共建共享工作模式，逐步推进5个</w:t>
      </w:r>
      <w:r>
        <w:rPr>
          <w:rFonts w:ascii="仿宋_GB2312" w:hAnsi="仿宋_GB2312" w:cs="仿宋_GB2312"/>
        </w:rPr>
        <w:t>“</w:t>
      </w:r>
      <w:r>
        <w:t>CIM</w:t>
      </w:r>
      <w:r>
        <w:rPr>
          <w:rFonts w:hint="eastAsia" w:ascii="仿宋_GB2312" w:hAnsi="仿宋_GB2312" w:cs="仿宋_GB2312"/>
        </w:rPr>
        <w:t>+</w:t>
      </w:r>
      <w:r>
        <w:rPr>
          <w:rFonts w:ascii="仿宋_GB2312" w:hAnsi="仿宋_GB2312" w:cs="仿宋_GB2312"/>
        </w:rPr>
        <w:t>”</w:t>
      </w:r>
      <w:r>
        <w:t>数据共享跨部门创新业务管理场景。</w:t>
      </w:r>
    </w:p>
    <w:p w14:paraId="3049477D">
      <w:pPr>
        <w:spacing w:after="0" w:line="360" w:lineRule="auto"/>
        <w:ind w:firstLine="643" w:firstLineChars="200"/>
        <w:outlineLvl w:val="2"/>
        <w:rPr>
          <w:b/>
          <w:bCs/>
          <w:szCs w:val="32"/>
          <w:lang w:bidi="zh-CN"/>
        </w:rPr>
      </w:pPr>
      <w:r>
        <w:rPr>
          <w:b/>
          <w:bCs/>
          <w:szCs w:val="32"/>
          <w:lang w:bidi="zh-CN"/>
        </w:rPr>
        <w:t>3.着力</w:t>
      </w:r>
      <w:r>
        <w:rPr>
          <w:rFonts w:hint="eastAsia"/>
          <w:b/>
          <w:bCs/>
          <w:szCs w:val="32"/>
          <w:lang w:bidi="zh-CN"/>
        </w:rPr>
        <w:t>强化</w:t>
      </w:r>
      <w:r>
        <w:rPr>
          <w:b/>
          <w:bCs/>
          <w:szCs w:val="32"/>
          <w:lang w:bidi="zh-CN"/>
        </w:rPr>
        <w:t>商品房及保障性住房数字赋能支撑</w:t>
      </w:r>
    </w:p>
    <w:p w14:paraId="4663EF05">
      <w:pPr>
        <w:spacing w:after="0" w:line="360" w:lineRule="auto"/>
        <w:ind w:firstLine="643"/>
      </w:pPr>
      <w:r>
        <w:t>完善预售资金监管系统，落实开发进度监管。</w:t>
      </w:r>
      <w:r>
        <w:rPr>
          <w:rFonts w:hint="eastAsia"/>
        </w:rPr>
        <w:t>优化</w:t>
      </w:r>
      <w:r>
        <w:t>保障性住房业务管理系统，推动住房保障数字化管理。进一步开发便民应用，完善</w:t>
      </w:r>
      <w:r>
        <w:rPr>
          <w:rFonts w:ascii="仿宋_GB2312" w:hAnsi="仿宋_GB2312" w:cs="仿宋_GB2312"/>
        </w:rPr>
        <w:t>“</w:t>
      </w:r>
      <w:r>
        <w:t>一件事</w:t>
      </w:r>
      <w:r>
        <w:rPr>
          <w:rFonts w:ascii="仿宋_GB2312" w:hAnsi="仿宋_GB2312" w:cs="仿宋_GB2312"/>
        </w:rPr>
        <w:t>”</w:t>
      </w:r>
      <w:r>
        <w:t>实施机制，推动</w:t>
      </w:r>
      <w:r>
        <w:rPr>
          <w:bCs/>
        </w:rPr>
        <w:t>高频服务事项</w:t>
      </w:r>
      <w:r>
        <w:rPr>
          <w:rFonts w:ascii="仿宋_GB2312" w:hAnsi="仿宋_GB2312" w:cs="仿宋_GB2312"/>
          <w:bCs w:val="0"/>
        </w:rPr>
        <w:t>“</w:t>
      </w:r>
      <w:r>
        <w:rPr>
          <w:bCs/>
        </w:rPr>
        <w:t>全程网办</w:t>
      </w:r>
      <w:r>
        <w:rPr>
          <w:rFonts w:ascii="仿宋_GB2312" w:hAnsi="仿宋_GB2312" w:cs="仿宋_GB2312"/>
          <w:bCs w:val="0"/>
        </w:rPr>
        <w:t>”</w:t>
      </w:r>
      <w:r>
        <w:t>。对一、二手商品房及保障性住房的交易管理数据精确量化，融入常态分析机制，并与全市</w:t>
      </w:r>
      <w:r>
        <w:rPr>
          <w:rFonts w:ascii="仿宋_GB2312" w:hAnsi="仿宋_GB2312" w:cs="仿宋_GB2312"/>
        </w:rPr>
        <w:t>“</w:t>
      </w:r>
      <w:r>
        <w:t>房屋一张图</w:t>
      </w:r>
      <w:r>
        <w:rPr>
          <w:rFonts w:ascii="仿宋_GB2312" w:hAnsi="仿宋_GB2312" w:cs="仿宋_GB2312"/>
        </w:rPr>
        <w:t>”</w:t>
      </w:r>
      <w:r>
        <w:t>进行匹配。</w:t>
      </w:r>
    </w:p>
    <w:p w14:paraId="4699A524">
      <w:pPr>
        <w:spacing w:after="0" w:line="360" w:lineRule="auto"/>
        <w:ind w:firstLine="643" w:firstLineChars="200"/>
        <w:outlineLvl w:val="2"/>
        <w:rPr>
          <w:b/>
          <w:bCs/>
          <w:szCs w:val="32"/>
          <w:lang w:bidi="zh-CN"/>
        </w:rPr>
      </w:pPr>
      <w:r>
        <w:rPr>
          <w:b/>
          <w:bCs/>
          <w:szCs w:val="32"/>
          <w:lang w:bidi="zh-CN"/>
        </w:rPr>
        <w:t>4.致力优化</w:t>
      </w:r>
      <w:r>
        <w:rPr>
          <w:rFonts w:ascii="仿宋_GB2312" w:hAnsi="仿宋_GB2312" w:cs="仿宋_GB2312"/>
          <w:b/>
          <w:bCs/>
          <w:szCs w:val="32"/>
          <w:lang w:bidi="zh-CN"/>
        </w:rPr>
        <w:t>“</w:t>
      </w:r>
      <w:r>
        <w:rPr>
          <w:b/>
          <w:bCs/>
          <w:szCs w:val="32"/>
          <w:lang w:bidi="zh-CN"/>
        </w:rPr>
        <w:t>莞e住建</w:t>
      </w:r>
      <w:r>
        <w:rPr>
          <w:rFonts w:ascii="仿宋_GB2312" w:hAnsi="仿宋_GB2312" w:cs="仿宋_GB2312"/>
          <w:b/>
          <w:bCs/>
          <w:szCs w:val="32"/>
          <w:lang w:bidi="zh-CN"/>
        </w:rPr>
        <w:t>”</w:t>
      </w:r>
      <w:r>
        <w:rPr>
          <w:b/>
          <w:bCs/>
          <w:szCs w:val="32"/>
          <w:lang w:bidi="zh-CN"/>
        </w:rPr>
        <w:t>小程序</w:t>
      </w:r>
    </w:p>
    <w:p w14:paraId="31399FE0">
      <w:pPr>
        <w:spacing w:after="0" w:line="360" w:lineRule="auto"/>
        <w:ind w:firstLine="643"/>
      </w:pPr>
      <w:r>
        <w:rPr>
          <w:rFonts w:hint="eastAsia"/>
        </w:rPr>
        <w:t>建设完善既有房屋三项制度及老旧房屋管理、限额以下工程管理、物业服务管理、消防审验排查等深度应用功能，并结合全市“房屋一张图”数据资源底座，将“莞e住建”小程序打造成可深入一线基层的掌上闭环管理工具。</w:t>
      </w:r>
    </w:p>
    <w:p w14:paraId="78622240">
      <w:pPr>
        <w:pStyle w:val="2"/>
        <w:spacing w:after="0" w:line="360" w:lineRule="auto"/>
        <w:rPr>
          <w:rFonts w:ascii="Times New Roman" w:hAnsi="Times New Roman"/>
        </w:rPr>
      </w:pPr>
      <w:bookmarkStart w:id="72" w:name="_Toc226725736"/>
      <w:bookmarkStart w:id="73" w:name="_Toc32635"/>
      <w:bookmarkStart w:id="74" w:name="_Toc12696"/>
      <w:bookmarkStart w:id="75" w:name="_Toc196259748"/>
      <w:r>
        <w:rPr>
          <w:rFonts w:ascii="Times New Roman" w:hAnsi="Times New Roman"/>
        </w:rPr>
        <w:t>四、空间指引</w:t>
      </w:r>
      <w:bookmarkEnd w:id="72"/>
      <w:bookmarkEnd w:id="73"/>
    </w:p>
    <w:p w14:paraId="4863C871">
      <w:pPr>
        <w:pStyle w:val="3"/>
        <w:widowControl/>
        <w:spacing w:after="0"/>
        <w:ind w:firstLine="640"/>
        <w:rPr>
          <w:rFonts w:ascii="Times New Roman" w:hAnsi="Times New Roman"/>
          <w:bCs w:val="0"/>
          <w:lang w:bidi="zh-CN"/>
        </w:rPr>
      </w:pPr>
      <w:bookmarkStart w:id="76" w:name="_Toc30093"/>
      <w:bookmarkStart w:id="77" w:name="_Toc226725737"/>
      <w:bookmarkStart w:id="78" w:name="_Toc16475"/>
      <w:r>
        <w:rPr>
          <w:rFonts w:ascii="Times New Roman" w:hAnsi="Times New Roman"/>
          <w:lang w:bidi="zh-CN"/>
        </w:rPr>
        <w:t>（一）城区片区：现代化城市居住样板区</w:t>
      </w:r>
      <w:bookmarkEnd w:id="76"/>
      <w:bookmarkEnd w:id="77"/>
    </w:p>
    <w:p w14:paraId="0BCFC5BA">
      <w:pPr>
        <w:spacing w:after="0" w:line="360" w:lineRule="auto"/>
        <w:ind w:firstLine="640"/>
      </w:pPr>
      <w:r>
        <w:t>重点推动以城中村改造和</w:t>
      </w:r>
      <w:r>
        <w:rPr>
          <w:rFonts w:hint="eastAsia"/>
        </w:rPr>
        <w:t>产业社区</w:t>
      </w:r>
      <w:r>
        <w:t>为核心的存量居住空间优化，推动黄旗南片区改造和万江街道新村</w:t>
      </w:r>
      <w:r>
        <w:rPr>
          <w:rFonts w:hint="eastAsia"/>
        </w:rPr>
        <w:t>产业社区</w:t>
      </w:r>
      <w:r>
        <w:t>建设。在南城商务区周边开展高星级绿色住房项目</w:t>
      </w:r>
      <w:r>
        <w:rPr>
          <w:rFonts w:hint="eastAsia"/>
        </w:rPr>
        <w:t>试点</w:t>
      </w:r>
      <w:r>
        <w:t>，在莞城街道推动高品质住房、高品质住宅用地供应。依托现代化</w:t>
      </w:r>
      <w:r>
        <w:rPr>
          <w:rFonts w:hint="eastAsia"/>
        </w:rPr>
        <w:t>产业社区</w:t>
      </w:r>
      <w:r>
        <w:t>建设加大保障性住房供应。</w:t>
      </w:r>
    </w:p>
    <w:p w14:paraId="0A4CD693">
      <w:pPr>
        <w:pStyle w:val="3"/>
        <w:widowControl/>
        <w:spacing w:after="0"/>
        <w:ind w:firstLine="640"/>
        <w:rPr>
          <w:rFonts w:ascii="Times New Roman" w:hAnsi="Times New Roman"/>
          <w:bCs w:val="0"/>
          <w:lang w:val="zh-CN" w:bidi="zh-CN"/>
        </w:rPr>
      </w:pPr>
      <w:bookmarkStart w:id="79" w:name="_Toc226725738"/>
      <w:bookmarkStart w:id="80" w:name="_Toc25048"/>
      <w:r>
        <w:rPr>
          <w:rFonts w:ascii="Times New Roman" w:hAnsi="Times New Roman"/>
          <w:lang w:bidi="zh-CN"/>
        </w:rPr>
        <w:t>（二）松山湖片区：高品质宜居创新区</w:t>
      </w:r>
      <w:bookmarkEnd w:id="79"/>
      <w:bookmarkEnd w:id="80"/>
    </w:p>
    <w:p w14:paraId="22FF577E">
      <w:pPr>
        <w:spacing w:after="0" w:line="360" w:lineRule="auto"/>
        <w:ind w:firstLine="640" w:firstLineChars="200"/>
      </w:pPr>
      <w:r>
        <w:t>开展高星级绿色住房项目试点和</w:t>
      </w:r>
      <w:r>
        <w:rPr>
          <w:rFonts w:ascii="仿宋_GB2312" w:hAnsi="仿宋_GB2312" w:cs="仿宋_GB2312"/>
        </w:rPr>
        <w:t>“</w:t>
      </w:r>
      <w:r>
        <w:t>未来社区</w:t>
      </w:r>
      <w:r>
        <w:rPr>
          <w:rFonts w:ascii="仿宋_GB2312" w:hAnsi="仿宋_GB2312" w:cs="仿宋_GB2312"/>
        </w:rPr>
        <w:t>”</w:t>
      </w:r>
      <w:r>
        <w:t>建设试点，增强松山湖高新区对人才的吸引力。落实松山湖高新区高品质商品住房</w:t>
      </w:r>
      <w:r>
        <w:rPr>
          <w:rFonts w:hint="eastAsia"/>
        </w:rPr>
        <w:t>和保障性住房供应，</w:t>
      </w:r>
      <w:r>
        <w:t>做好高品质住宅用地储备及供应。</w:t>
      </w:r>
      <w:r>
        <w:rPr>
          <w:rFonts w:hint="eastAsia"/>
        </w:rPr>
        <w:t>推动</w:t>
      </w:r>
      <w:r>
        <w:t>周边镇街持续完善各类公共服务配套设施，优化人居环境，缓解松山湖高新区住房供应压力。</w:t>
      </w:r>
    </w:p>
    <w:p w14:paraId="0C50D690">
      <w:pPr>
        <w:pStyle w:val="3"/>
        <w:widowControl/>
        <w:spacing w:after="0"/>
        <w:ind w:firstLine="640"/>
        <w:rPr>
          <w:rFonts w:ascii="Times New Roman" w:hAnsi="Times New Roman"/>
          <w:bCs w:val="0"/>
          <w:lang w:val="zh-CN" w:bidi="zh-CN"/>
        </w:rPr>
      </w:pPr>
      <w:bookmarkStart w:id="81" w:name="_Toc226725739"/>
      <w:bookmarkStart w:id="82" w:name="_Toc24036"/>
      <w:r>
        <w:rPr>
          <w:rFonts w:ascii="Times New Roman" w:hAnsi="Times New Roman"/>
          <w:lang w:bidi="zh-CN"/>
        </w:rPr>
        <w:t>（三）滨海湾片区：高品质智慧新城</w:t>
      </w:r>
      <w:bookmarkEnd w:id="81"/>
      <w:bookmarkEnd w:id="82"/>
    </w:p>
    <w:p w14:paraId="14576F75">
      <w:pPr>
        <w:spacing w:after="0" w:line="360" w:lineRule="auto"/>
        <w:ind w:firstLine="640"/>
      </w:pPr>
      <w:r>
        <w:t>保障教育、医疗等公共服务配套设施落地，有序增加高品质住房供应。以滨海湾新区为核心，开展高星级绿色住房项目试点。</w:t>
      </w:r>
      <w:r>
        <w:rPr>
          <w:rFonts w:hint="eastAsia"/>
        </w:rPr>
        <w:t>推动</w:t>
      </w:r>
      <w:r>
        <w:t>相邻镇街围绕滨海湾新区在区位临近、交通便利、配套较为齐全等位置适当增加住房供应，保障滨海湾人工智能产业相关人才的居住需求。以厚山</w:t>
      </w:r>
      <w:r>
        <w:rPr>
          <w:rFonts w:hint="eastAsia"/>
        </w:rPr>
        <w:t>产业社区</w:t>
      </w:r>
      <w:r>
        <w:t>建设为重要抓手，加快推动人居环境品质提升。</w:t>
      </w:r>
    </w:p>
    <w:p w14:paraId="5A210A08">
      <w:pPr>
        <w:pStyle w:val="3"/>
        <w:widowControl/>
        <w:spacing w:after="0"/>
        <w:ind w:firstLine="640"/>
        <w:rPr>
          <w:rFonts w:ascii="Times New Roman" w:hAnsi="Times New Roman"/>
          <w:lang w:val="zh-CN" w:bidi="zh-CN"/>
        </w:rPr>
      </w:pPr>
      <w:bookmarkStart w:id="83" w:name="_Toc24996"/>
      <w:bookmarkStart w:id="84" w:name="_Toc226725740"/>
      <w:r>
        <w:rPr>
          <w:rFonts w:ascii="Times New Roman" w:hAnsi="Times New Roman"/>
          <w:lang w:val="zh-CN" w:bidi="zh-CN"/>
        </w:rPr>
        <w:t>（</w:t>
      </w:r>
      <w:r>
        <w:rPr>
          <w:rFonts w:ascii="Times New Roman" w:hAnsi="Times New Roman"/>
          <w:lang w:bidi="zh-CN"/>
        </w:rPr>
        <w:t>四</w:t>
      </w:r>
      <w:r>
        <w:rPr>
          <w:rFonts w:ascii="Times New Roman" w:hAnsi="Times New Roman"/>
          <w:lang w:val="zh-CN" w:bidi="zh-CN"/>
        </w:rPr>
        <w:t>）水乡新城片区：</w:t>
      </w:r>
      <w:r>
        <w:rPr>
          <w:rFonts w:ascii="Times New Roman" w:hAnsi="Times New Roman"/>
          <w:lang w:bidi="zh-CN"/>
        </w:rPr>
        <w:t>生态特色居住组</w:t>
      </w:r>
      <w:r>
        <w:rPr>
          <w:rFonts w:ascii="Times New Roman" w:hAnsi="Times New Roman"/>
          <w:lang w:val="zh-CN" w:bidi="zh-CN"/>
        </w:rPr>
        <w:t>团</w:t>
      </w:r>
      <w:bookmarkEnd w:id="83"/>
      <w:bookmarkEnd w:id="84"/>
    </w:p>
    <w:p w14:paraId="54651F4B">
      <w:pPr>
        <w:spacing w:after="0" w:line="360" w:lineRule="auto"/>
        <w:ind w:firstLine="640"/>
      </w:pPr>
      <w:r>
        <w:t>加快推动新建商品住房去库存和在建项目高品质开发，重点依托人工智能新型工业化产业人才需求和水乡</w:t>
      </w:r>
      <w:r>
        <w:rPr>
          <w:rFonts w:hint="eastAsia"/>
        </w:rPr>
        <w:t>良好</w:t>
      </w:r>
      <w:r>
        <w:t>的自然生态基础供应高品质住房，开展高星级绿色住房项目试点。加快补齐公共服务配套设施短板，不断提升人居环境品质。</w:t>
      </w:r>
    </w:p>
    <w:p w14:paraId="52670580">
      <w:pPr>
        <w:pStyle w:val="3"/>
        <w:widowControl/>
        <w:spacing w:after="0"/>
        <w:ind w:firstLine="640"/>
        <w:rPr>
          <w:rFonts w:ascii="Times New Roman" w:hAnsi="Times New Roman"/>
          <w:bCs w:val="0"/>
          <w:lang w:val="zh-CN" w:bidi="zh-CN"/>
        </w:rPr>
      </w:pPr>
      <w:bookmarkStart w:id="85" w:name="_Toc226725741"/>
      <w:bookmarkStart w:id="86" w:name="_Toc32427"/>
      <w:r>
        <w:rPr>
          <w:rFonts w:ascii="Times New Roman" w:hAnsi="Times New Roman"/>
          <w:lang w:bidi="zh-CN"/>
        </w:rPr>
        <w:t>（五）东部产业园片区：产城一体居住组团</w:t>
      </w:r>
      <w:bookmarkEnd w:id="85"/>
      <w:bookmarkEnd w:id="86"/>
    </w:p>
    <w:p w14:paraId="4E83BE9D">
      <w:pPr>
        <w:spacing w:after="0" w:line="360" w:lineRule="auto"/>
        <w:ind w:firstLine="640"/>
      </w:pPr>
      <w:r>
        <w:t>大力推动新建商品住房去库存。结合产业集聚区以及交通、教育、医疗设施较完善的区域新增住房供应，重点加强各类公共服务配套设施补短板。依托产业发展需要有序推进保障性住房筹建，更好地服务产业发展。</w:t>
      </w:r>
    </w:p>
    <w:p w14:paraId="0944E859">
      <w:pPr>
        <w:pStyle w:val="3"/>
        <w:widowControl/>
        <w:spacing w:after="0"/>
        <w:ind w:firstLine="640"/>
        <w:rPr>
          <w:rFonts w:ascii="Times New Roman" w:hAnsi="Times New Roman"/>
          <w:bCs w:val="0"/>
          <w:lang w:val="zh-CN" w:bidi="zh-CN"/>
        </w:rPr>
      </w:pPr>
      <w:bookmarkStart w:id="87" w:name="_Toc16116"/>
      <w:bookmarkStart w:id="88" w:name="_Toc226725742"/>
      <w:r>
        <w:rPr>
          <w:rFonts w:ascii="Times New Roman" w:hAnsi="Times New Roman"/>
          <w:lang w:bidi="zh-CN"/>
        </w:rPr>
        <w:t>（六）东南临深片区：城际融合居住组团</w:t>
      </w:r>
      <w:bookmarkEnd w:id="87"/>
      <w:bookmarkEnd w:id="88"/>
    </w:p>
    <w:p w14:paraId="363B6775">
      <w:pPr>
        <w:spacing w:after="0" w:line="360" w:lineRule="auto"/>
        <w:ind w:firstLine="640"/>
      </w:pPr>
      <w:r>
        <w:t>加快推动新建商品住房去库存。持续加强与深圳市的对接融合，根据市场需求适度增加高品质改善型住房供应，持续改善人居环境品质和交通条件，承接深圳市外溢购房需求。根据塘厦镇、清溪镇、凤岗镇与深圳龙华区、龙岗区产业园集群建设情况，逐步加大保障性住房筹建，助力产业发展。</w:t>
      </w:r>
    </w:p>
    <w:p w14:paraId="66DAE42C">
      <w:pPr>
        <w:spacing w:after="0" w:line="360" w:lineRule="auto"/>
        <w:ind w:firstLine="640" w:firstLineChars="200"/>
        <w:outlineLvl w:val="0"/>
        <w:rPr>
          <w:rFonts w:eastAsia="黑体"/>
        </w:rPr>
      </w:pPr>
      <w:bookmarkStart w:id="89" w:name="_Toc226725743"/>
      <w:bookmarkStart w:id="90" w:name="_Toc18289"/>
      <w:r>
        <w:rPr>
          <w:rFonts w:eastAsia="黑体"/>
        </w:rPr>
        <w:t>五、要素联动</w:t>
      </w:r>
      <w:bookmarkEnd w:id="78"/>
      <w:bookmarkEnd w:id="89"/>
      <w:bookmarkEnd w:id="90"/>
    </w:p>
    <w:p w14:paraId="11A91169">
      <w:pPr>
        <w:spacing w:after="0" w:line="360" w:lineRule="auto"/>
        <w:ind w:firstLine="640" w:firstLineChars="200"/>
        <w:outlineLvl w:val="1"/>
        <w:rPr>
          <w:rFonts w:eastAsia="楷体_GB2312"/>
          <w:bCs/>
          <w:szCs w:val="40"/>
        </w:rPr>
      </w:pPr>
      <w:bookmarkStart w:id="91" w:name="_Toc226725744"/>
      <w:bookmarkStart w:id="92" w:name="_Toc25504"/>
      <w:bookmarkStart w:id="93" w:name="_Toc18283"/>
      <w:r>
        <w:rPr>
          <w:rFonts w:eastAsia="楷体_GB2312"/>
          <w:bCs/>
          <w:szCs w:val="40"/>
        </w:rPr>
        <w:t>（一）</w:t>
      </w:r>
      <w:bookmarkStart w:id="94" w:name="_Hlk213689967"/>
      <w:r>
        <w:rPr>
          <w:rFonts w:eastAsia="楷体_GB2312"/>
          <w:bCs/>
          <w:szCs w:val="40"/>
        </w:rPr>
        <w:t>优化用地供应机制</w:t>
      </w:r>
      <w:bookmarkEnd w:id="91"/>
      <w:bookmarkEnd w:id="92"/>
      <w:bookmarkEnd w:id="94"/>
    </w:p>
    <w:p w14:paraId="0FB6240C">
      <w:pPr>
        <w:spacing w:after="0" w:line="360" w:lineRule="auto"/>
        <w:ind w:firstLine="643" w:firstLineChars="200"/>
        <w:outlineLvl w:val="2"/>
        <w:rPr>
          <w:b/>
          <w:bCs/>
          <w:szCs w:val="22"/>
        </w:rPr>
      </w:pPr>
      <w:r>
        <w:rPr>
          <w:b/>
          <w:bCs/>
          <w:szCs w:val="22"/>
        </w:rPr>
        <w:t>1.加强土地供应计划管理</w:t>
      </w:r>
    </w:p>
    <w:p w14:paraId="34D99580">
      <w:pPr>
        <w:spacing w:after="0" w:line="360" w:lineRule="auto"/>
        <w:ind w:firstLine="640" w:firstLineChars="200"/>
        <w:rPr>
          <w:szCs w:val="22"/>
        </w:rPr>
      </w:pPr>
      <w:r>
        <w:rPr>
          <w:rFonts w:ascii="仿宋_GB2312" w:hAnsi="仿宋_GB2312" w:cs="仿宋_GB2312"/>
          <w:szCs w:val="36"/>
        </w:rPr>
        <w:t>“</w:t>
      </w:r>
      <w:r>
        <w:rPr>
          <w:szCs w:val="22"/>
        </w:rPr>
        <w:t>十五五</w:t>
      </w:r>
      <w:r>
        <w:rPr>
          <w:rFonts w:ascii="仿宋_GB2312" w:hAnsi="仿宋_GB2312" w:cs="仿宋_GB2312"/>
          <w:szCs w:val="36"/>
        </w:rPr>
        <w:t>”</w:t>
      </w:r>
      <w:r>
        <w:rPr>
          <w:szCs w:val="22"/>
        </w:rPr>
        <w:t>时期，</w:t>
      </w:r>
      <w:r>
        <w:rPr>
          <w:rFonts w:hint="eastAsia"/>
          <w:szCs w:val="22"/>
        </w:rPr>
        <w:t>计划</w:t>
      </w:r>
      <w:r>
        <w:rPr>
          <w:szCs w:val="22"/>
        </w:rPr>
        <w:t>供应商品住房用地315公顷；供应保障性住房用地33.51公顷，其中保障性租赁住房用地26.25公顷，配售型保障性住房用地7.26公顷。</w:t>
      </w:r>
      <w:r>
        <w:rPr>
          <w:rFonts w:hint="eastAsia"/>
          <w:szCs w:val="22"/>
        </w:rPr>
        <w:t>坚持以人定房、以房定地，合理制定年度建设用地供应计划。建立土地市场常态化监控体系，及时调整供地时序。</w:t>
      </w:r>
    </w:p>
    <w:p w14:paraId="49DA2A34">
      <w:pPr>
        <w:spacing w:after="0" w:line="360" w:lineRule="auto"/>
        <w:ind w:firstLine="643" w:firstLineChars="200"/>
        <w:outlineLvl w:val="2"/>
        <w:rPr>
          <w:b/>
          <w:bCs/>
          <w:szCs w:val="22"/>
        </w:rPr>
      </w:pPr>
      <w:r>
        <w:rPr>
          <w:b/>
          <w:bCs/>
          <w:szCs w:val="22"/>
        </w:rPr>
        <w:t>2</w:t>
      </w:r>
      <w:r>
        <w:rPr>
          <w:rFonts w:hint="eastAsia"/>
          <w:b/>
          <w:bCs/>
          <w:szCs w:val="22"/>
        </w:rPr>
        <w:t>.高标准保障住宅用地供应</w:t>
      </w:r>
    </w:p>
    <w:p w14:paraId="53CC3298">
      <w:pPr>
        <w:spacing w:after="0" w:line="240" w:lineRule="auto"/>
        <w:ind w:firstLine="640" w:firstLineChars="200"/>
        <w:outlineLvl w:val="9"/>
        <w:rPr>
          <w:b/>
          <w:bCs/>
          <w:szCs w:val="22"/>
        </w:rPr>
      </w:pPr>
      <w:r>
        <w:rPr>
          <w:rFonts w:hint="eastAsia"/>
          <w:szCs w:val="22"/>
        </w:rPr>
        <w:t>加强轨道站点周边、公共配套设施较为完善、就业密集区域的土地储备，整备</w:t>
      </w:r>
      <w:r>
        <w:rPr>
          <w:szCs w:val="22"/>
        </w:rPr>
        <w:t>一批配套完善、拿地即能开工的优质地块并有序推出。</w:t>
      </w:r>
      <w:r>
        <w:rPr>
          <w:szCs w:val="32"/>
        </w:rPr>
        <w:t>优化居住用地规划条件</w:t>
      </w:r>
      <w:r>
        <w:rPr>
          <w:rFonts w:hint="eastAsia"/>
          <w:szCs w:val="32"/>
        </w:rPr>
        <w:t>，推动</w:t>
      </w:r>
      <w:r>
        <w:rPr>
          <w:rFonts w:hint="eastAsia" w:ascii="仿宋_GB2312" w:hAnsi="仿宋_GB2312" w:cs="仿宋_GB2312"/>
          <w:szCs w:val="36"/>
        </w:rPr>
        <w:t>“</w:t>
      </w:r>
      <w:r>
        <w:rPr>
          <w:szCs w:val="32"/>
        </w:rPr>
        <w:t>好房子</w:t>
      </w:r>
      <w:r>
        <w:rPr>
          <w:rFonts w:hint="eastAsia"/>
          <w:szCs w:val="32"/>
        </w:rPr>
        <w:t>”建设</w:t>
      </w:r>
      <w:r>
        <w:rPr>
          <w:szCs w:val="32"/>
        </w:rPr>
        <w:t>。</w:t>
      </w:r>
    </w:p>
    <w:p w14:paraId="0521CB95">
      <w:pPr>
        <w:spacing w:after="0" w:line="360" w:lineRule="auto"/>
        <w:ind w:firstLine="643" w:firstLineChars="200"/>
        <w:outlineLvl w:val="2"/>
        <w:rPr>
          <w:szCs w:val="22"/>
        </w:rPr>
      </w:pPr>
      <w:r>
        <w:rPr>
          <w:rFonts w:hint="eastAsia"/>
          <w:b/>
          <w:bCs/>
          <w:szCs w:val="22"/>
        </w:rPr>
        <w:t>3</w:t>
      </w:r>
      <w:r>
        <w:rPr>
          <w:b/>
          <w:bCs/>
          <w:szCs w:val="22"/>
        </w:rPr>
        <w:t>.加快盘活存量闲置土地</w:t>
      </w:r>
    </w:p>
    <w:p w14:paraId="3AEB5D97">
      <w:pPr>
        <w:spacing w:after="0" w:line="360" w:lineRule="auto"/>
        <w:ind w:firstLine="640" w:firstLineChars="200"/>
        <w:rPr>
          <w:szCs w:val="22"/>
        </w:rPr>
      </w:pPr>
      <w:r>
        <w:rPr>
          <w:szCs w:val="22"/>
        </w:rPr>
        <w:t>坚持</w:t>
      </w:r>
      <w:r>
        <w:rPr>
          <w:rFonts w:ascii="仿宋_GB2312" w:hAnsi="仿宋_GB2312" w:cs="仿宋_GB2312"/>
          <w:szCs w:val="36"/>
        </w:rPr>
        <w:t>“</w:t>
      </w:r>
      <w:r>
        <w:rPr>
          <w:szCs w:val="22"/>
        </w:rPr>
        <w:t>一地一策</w:t>
      </w:r>
      <w:r>
        <w:rPr>
          <w:rFonts w:ascii="仿宋_GB2312" w:hAnsi="仿宋_GB2312" w:cs="仿宋_GB2312"/>
          <w:szCs w:val="36"/>
        </w:rPr>
        <w:t>”</w:t>
      </w:r>
      <w:r>
        <w:rPr>
          <w:szCs w:val="22"/>
        </w:rPr>
        <w:t>推进低效闲置用地盘活工作，加快利用地方政府专项债券资金收回存量闲置土地。</w:t>
      </w:r>
      <w:r>
        <w:rPr>
          <w:rFonts w:hint="eastAsia"/>
          <w:szCs w:val="22"/>
        </w:rPr>
        <w:t>对缺乏开发条件的地块，</w:t>
      </w:r>
      <w:r>
        <w:rPr>
          <w:szCs w:val="22"/>
        </w:rPr>
        <w:t>加快完善周边市政基础设施和公共服务配套设施建设</w:t>
      </w:r>
      <w:r>
        <w:rPr>
          <w:rFonts w:hint="eastAsia"/>
          <w:szCs w:val="22"/>
        </w:rPr>
        <w:t>，推动企业开工或者依法流通转让</w:t>
      </w:r>
      <w:r>
        <w:rPr>
          <w:szCs w:val="22"/>
        </w:rPr>
        <w:t>。探索使用</w:t>
      </w:r>
      <w:r>
        <w:rPr>
          <w:rFonts w:ascii="仿宋_GB2312" w:hAnsi="仿宋_GB2312" w:cs="仿宋_GB2312"/>
          <w:szCs w:val="36"/>
        </w:rPr>
        <w:t>“</w:t>
      </w:r>
      <w:r>
        <w:rPr>
          <w:szCs w:val="22"/>
        </w:rPr>
        <w:t>地票</w:t>
      </w:r>
      <w:r>
        <w:rPr>
          <w:rFonts w:ascii="仿宋_GB2312" w:hAnsi="仿宋_GB2312" w:cs="仿宋_GB2312"/>
          <w:szCs w:val="36"/>
        </w:rPr>
        <w:t>”</w:t>
      </w:r>
      <w:r>
        <w:rPr>
          <w:szCs w:val="22"/>
        </w:rPr>
        <w:t>收购存量闲置土地。</w:t>
      </w:r>
    </w:p>
    <w:p w14:paraId="542B67D6">
      <w:pPr>
        <w:spacing w:after="0" w:line="360" w:lineRule="auto"/>
        <w:ind w:firstLine="640" w:firstLineChars="200"/>
        <w:outlineLvl w:val="1"/>
        <w:rPr>
          <w:rFonts w:eastAsia="楷体_GB2312"/>
          <w:szCs w:val="22"/>
        </w:rPr>
      </w:pPr>
      <w:bookmarkStart w:id="95" w:name="_Toc226725745"/>
      <w:bookmarkStart w:id="96" w:name="_Toc30992"/>
      <w:r>
        <w:rPr>
          <w:rFonts w:eastAsia="楷体_GB2312"/>
          <w:szCs w:val="22"/>
        </w:rPr>
        <w:t>（二）</w:t>
      </w:r>
      <w:bookmarkStart w:id="97" w:name="_Hlk213689977"/>
      <w:r>
        <w:rPr>
          <w:rFonts w:eastAsia="楷体_GB2312"/>
          <w:szCs w:val="22"/>
        </w:rPr>
        <w:t>完善资金保障机制</w:t>
      </w:r>
      <w:bookmarkEnd w:id="95"/>
      <w:bookmarkEnd w:id="96"/>
      <w:bookmarkEnd w:id="97"/>
    </w:p>
    <w:p w14:paraId="1B4D0AC1">
      <w:pPr>
        <w:spacing w:after="0" w:line="360" w:lineRule="auto"/>
        <w:ind w:firstLine="643" w:firstLineChars="200"/>
        <w:outlineLvl w:val="2"/>
        <w:rPr>
          <w:b/>
          <w:bCs/>
          <w:szCs w:val="22"/>
        </w:rPr>
      </w:pPr>
      <w:r>
        <w:rPr>
          <w:b/>
          <w:bCs/>
          <w:szCs w:val="22"/>
        </w:rPr>
        <w:t>1.推动房地产融资协调机制扩围增效</w:t>
      </w:r>
    </w:p>
    <w:p w14:paraId="146C5F9E">
      <w:pPr>
        <w:spacing w:after="0" w:line="360" w:lineRule="auto"/>
        <w:ind w:firstLine="640" w:firstLineChars="200"/>
        <w:rPr>
          <w:szCs w:val="22"/>
        </w:rPr>
      </w:pPr>
      <w:r>
        <w:rPr>
          <w:szCs w:val="22"/>
        </w:rPr>
        <w:t>推动</w:t>
      </w:r>
      <w:r>
        <w:rPr>
          <w:rFonts w:ascii="仿宋_GB2312" w:hAnsi="仿宋_GB2312" w:cs="仿宋_GB2312"/>
          <w:szCs w:val="36"/>
        </w:rPr>
        <w:t>“</w:t>
      </w:r>
      <w:r>
        <w:rPr>
          <w:szCs w:val="22"/>
        </w:rPr>
        <w:t>白名单</w:t>
      </w:r>
      <w:r>
        <w:rPr>
          <w:rFonts w:ascii="仿宋_GB2312" w:hAnsi="仿宋_GB2312" w:cs="仿宋_GB2312"/>
          <w:szCs w:val="36"/>
        </w:rPr>
        <w:t>”</w:t>
      </w:r>
      <w:r>
        <w:rPr>
          <w:szCs w:val="22"/>
        </w:rPr>
        <w:t>项目应进尽进，推动问题楼盘修复后纳入</w:t>
      </w:r>
      <w:r>
        <w:rPr>
          <w:rFonts w:ascii="仿宋_GB2312" w:hAnsi="仿宋_GB2312" w:cs="仿宋_GB2312"/>
          <w:szCs w:val="36"/>
        </w:rPr>
        <w:t>“</w:t>
      </w:r>
      <w:r>
        <w:rPr>
          <w:szCs w:val="22"/>
        </w:rPr>
        <w:t>白名单</w:t>
      </w:r>
      <w:r>
        <w:rPr>
          <w:rFonts w:ascii="仿宋_GB2312" w:hAnsi="仿宋_GB2312" w:cs="仿宋_GB2312"/>
          <w:szCs w:val="36"/>
        </w:rPr>
        <w:t>”</w:t>
      </w:r>
      <w:r>
        <w:rPr>
          <w:szCs w:val="22"/>
        </w:rPr>
        <w:t>。完善支持金融机构</w:t>
      </w:r>
      <w:r>
        <w:rPr>
          <w:rFonts w:ascii="仿宋_GB2312" w:hAnsi="仿宋_GB2312" w:cs="仿宋_GB2312"/>
          <w:szCs w:val="36"/>
        </w:rPr>
        <w:t>“</w:t>
      </w:r>
      <w:r>
        <w:rPr>
          <w:szCs w:val="22"/>
        </w:rPr>
        <w:t>能贷、敢贷、愿贷</w:t>
      </w:r>
      <w:r>
        <w:rPr>
          <w:rFonts w:ascii="仿宋_GB2312" w:hAnsi="仿宋_GB2312" w:cs="仿宋_GB2312"/>
          <w:szCs w:val="36"/>
        </w:rPr>
        <w:t>”</w:t>
      </w:r>
      <w:r>
        <w:rPr>
          <w:szCs w:val="22"/>
        </w:rPr>
        <w:t>的措施安排，优化建设资金拨付方式。落实与房地产新模式相</w:t>
      </w:r>
      <w:r>
        <w:rPr>
          <w:rFonts w:hint="eastAsia"/>
          <w:szCs w:val="22"/>
          <w:lang w:val="en-US" w:eastAsia="zh-CN"/>
        </w:rPr>
        <w:t>匹配</w:t>
      </w:r>
      <w:r>
        <w:rPr>
          <w:szCs w:val="22"/>
        </w:rPr>
        <w:t>的</w:t>
      </w:r>
      <w:r>
        <w:rPr>
          <w:rFonts w:hint="eastAsia"/>
          <w:szCs w:val="22"/>
          <w:lang w:val="en-US" w:eastAsia="zh-CN"/>
        </w:rPr>
        <w:t>资本市场服务体系</w:t>
      </w:r>
      <w:r>
        <w:rPr>
          <w:szCs w:val="22"/>
        </w:rPr>
        <w:t>，</w:t>
      </w:r>
      <w:r>
        <w:rPr>
          <w:rFonts w:hint="eastAsia"/>
          <w:szCs w:val="22"/>
          <w:lang w:val="en-US" w:eastAsia="zh-CN"/>
        </w:rPr>
        <w:t>改革完善房地产开发融资方式，</w:t>
      </w:r>
      <w:r>
        <w:rPr>
          <w:szCs w:val="22"/>
        </w:rPr>
        <w:t>推动从依赖主体信用向基于项目</w:t>
      </w:r>
      <w:r>
        <w:rPr>
          <w:rFonts w:hint="eastAsia"/>
          <w:szCs w:val="22"/>
          <w:lang w:val="en-US" w:eastAsia="zh-CN"/>
        </w:rPr>
        <w:t>情况</w:t>
      </w:r>
      <w:r>
        <w:rPr>
          <w:szCs w:val="22"/>
        </w:rPr>
        <w:t>转变。</w:t>
      </w:r>
    </w:p>
    <w:p w14:paraId="5798F575">
      <w:pPr>
        <w:spacing w:after="0" w:line="360" w:lineRule="auto"/>
        <w:ind w:firstLine="643" w:firstLineChars="200"/>
        <w:outlineLvl w:val="2"/>
        <w:rPr>
          <w:b/>
          <w:bCs/>
          <w:szCs w:val="22"/>
        </w:rPr>
      </w:pPr>
      <w:r>
        <w:rPr>
          <w:b/>
          <w:bCs/>
          <w:szCs w:val="22"/>
        </w:rPr>
        <w:t>2.用足用好保障性住房资金支持政策</w:t>
      </w:r>
    </w:p>
    <w:p w14:paraId="6A4D5808">
      <w:pPr>
        <w:spacing w:after="0" w:line="360" w:lineRule="auto"/>
        <w:ind w:firstLine="640" w:firstLineChars="200"/>
        <w:rPr>
          <w:szCs w:val="22"/>
        </w:rPr>
      </w:pPr>
      <w:r>
        <w:rPr>
          <w:szCs w:val="22"/>
        </w:rPr>
        <w:t>以财政资金、专项债、社会资本等多元投入方式，推动建立可持续的投融资模式。积极争取上级资金支持，强化财政资金统筹调配，推进保障性住房建设。持续推动地方政府专项债</w:t>
      </w:r>
      <w:r>
        <w:rPr>
          <w:rFonts w:hint="eastAsia"/>
          <w:szCs w:val="22"/>
          <w:lang w:eastAsia="zh-CN"/>
        </w:rPr>
        <w:t>支持</w:t>
      </w:r>
      <w:r>
        <w:rPr>
          <w:szCs w:val="22"/>
        </w:rPr>
        <w:t>，支持国有企业收购存量商品房用作保障性住房。</w:t>
      </w:r>
    </w:p>
    <w:bookmarkEnd w:id="93"/>
    <w:p w14:paraId="50663D52">
      <w:pPr>
        <w:pStyle w:val="4"/>
        <w:spacing w:after="0" w:line="360" w:lineRule="auto"/>
        <w:ind w:firstLine="643"/>
        <w:rPr>
          <w:rFonts w:ascii="Times New Roman" w:hAnsi="Times New Roman" w:cs="Times New Roman"/>
          <w:bCs/>
          <w:lang w:val="en-US"/>
        </w:rPr>
      </w:pPr>
      <w:r>
        <w:rPr>
          <w:rFonts w:ascii="Times New Roman" w:hAnsi="Times New Roman" w:cs="Times New Roman"/>
          <w:bCs/>
          <w:lang w:val="en-US"/>
        </w:rPr>
        <w:t>3.持续发挥住房公积金制度活力</w:t>
      </w:r>
    </w:p>
    <w:p w14:paraId="4B6BD0F7">
      <w:pPr>
        <w:widowControl/>
        <w:spacing w:after="0" w:line="360" w:lineRule="auto"/>
        <w:ind w:firstLine="643"/>
        <w:jc w:val="left"/>
        <w:rPr>
          <w:rFonts w:eastAsia="黑体"/>
        </w:rPr>
      </w:pPr>
      <w:r>
        <w:t>加强住房公积金普法宣传，开展缴存激励，落实依法行政，推进扩面和提质双提升。拓展</w:t>
      </w:r>
      <w:r>
        <w:rPr>
          <w:rFonts w:ascii="仿宋_GB2312" w:hAnsi="仿宋_GB2312" w:cs="仿宋_GB2312"/>
        </w:rPr>
        <w:t>“</w:t>
      </w:r>
      <w:r>
        <w:t>一件事</w:t>
      </w:r>
      <w:r>
        <w:rPr>
          <w:rFonts w:ascii="仿宋_GB2312" w:hAnsi="仿宋_GB2312" w:cs="仿宋_GB2312"/>
        </w:rPr>
        <w:t>”</w:t>
      </w:r>
      <w:r>
        <w:t>清单，</w:t>
      </w:r>
      <w:r>
        <w:rPr>
          <w:rFonts w:hint="eastAsia"/>
        </w:rPr>
        <w:t>扩大住房公积金对</w:t>
      </w:r>
      <w:r>
        <w:t>租赁住房、保障性住房、老旧小区改造等</w:t>
      </w:r>
      <w:r>
        <w:rPr>
          <w:rFonts w:hint="eastAsia"/>
        </w:rPr>
        <w:t>领域的支持，</w:t>
      </w:r>
      <w:r>
        <w:t>加大对</w:t>
      </w:r>
      <w:r>
        <w:rPr>
          <w:rFonts w:hint="eastAsia"/>
        </w:rPr>
        <w:t>多子女家庭</w:t>
      </w:r>
      <w:r>
        <w:t>住房消费</w:t>
      </w:r>
      <w:r>
        <w:rPr>
          <w:rFonts w:hint="eastAsia"/>
        </w:rPr>
        <w:t>的</w:t>
      </w:r>
      <w:r>
        <w:t>支持力度。大力推进灵活就业人员参加住房公积金制度</w:t>
      </w:r>
      <w:r>
        <w:rPr>
          <w:rFonts w:hint="eastAsia"/>
          <w:lang w:eastAsia="zh-CN"/>
        </w:rPr>
        <w:t>。</w:t>
      </w:r>
      <w:r>
        <w:t>参与粤港澳大湾区住房公积金区域协同发展，为缴存人提供跨市</w:t>
      </w:r>
      <w:r>
        <w:rPr>
          <w:rFonts w:ascii="仿宋_GB2312" w:hAnsi="仿宋_GB2312" w:cs="仿宋_GB2312"/>
        </w:rPr>
        <w:t>“</w:t>
      </w:r>
      <w:r>
        <w:t>同城化</w:t>
      </w:r>
      <w:r>
        <w:rPr>
          <w:rFonts w:ascii="仿宋_GB2312" w:hAnsi="仿宋_GB2312" w:cs="仿宋_GB2312"/>
        </w:rPr>
        <w:t>”</w:t>
      </w:r>
      <w:r>
        <w:t>服务。引入人工智能、大数据等技术，推进住房公积金数字化智能化转型。</w:t>
      </w:r>
      <w:bookmarkStart w:id="98" w:name="_Toc226725746"/>
    </w:p>
    <w:p w14:paraId="09938A99">
      <w:pPr>
        <w:tabs>
          <w:tab w:val="left" w:pos="7079"/>
        </w:tabs>
        <w:spacing w:after="0" w:line="360" w:lineRule="auto"/>
        <w:ind w:firstLine="640" w:firstLineChars="200"/>
        <w:outlineLvl w:val="0"/>
        <w:rPr>
          <w:rFonts w:hint="eastAsia" w:eastAsia="黑体"/>
          <w:lang w:eastAsia="zh-CN"/>
        </w:rPr>
      </w:pPr>
      <w:bookmarkStart w:id="99" w:name="_Toc6647"/>
      <w:r>
        <w:rPr>
          <w:rFonts w:eastAsia="黑体"/>
        </w:rPr>
        <w:t>六、</w:t>
      </w:r>
      <w:bookmarkStart w:id="100" w:name="_Hlk213690003"/>
      <w:r>
        <w:rPr>
          <w:rFonts w:eastAsia="黑体"/>
        </w:rPr>
        <w:t>规划实施保障措施</w:t>
      </w:r>
      <w:bookmarkEnd w:id="98"/>
      <w:bookmarkEnd w:id="99"/>
      <w:bookmarkEnd w:id="100"/>
      <w:r>
        <w:rPr>
          <w:rFonts w:hint="eastAsia" w:eastAsia="黑体"/>
          <w:lang w:eastAsia="zh-CN"/>
        </w:rPr>
        <w:tab/>
      </w:r>
      <w:bookmarkStart w:id="118" w:name="_GoBack"/>
      <w:bookmarkEnd w:id="118"/>
    </w:p>
    <w:p w14:paraId="598EE820">
      <w:pPr>
        <w:spacing w:after="0" w:line="360" w:lineRule="auto"/>
        <w:ind w:firstLine="640" w:firstLineChars="200"/>
        <w:outlineLvl w:val="1"/>
        <w:rPr>
          <w:rFonts w:eastAsia="楷体_GB2312"/>
          <w:bCs/>
        </w:rPr>
      </w:pPr>
      <w:bookmarkStart w:id="101" w:name="_Toc30225"/>
      <w:bookmarkStart w:id="102" w:name="_Toc226725747"/>
      <w:r>
        <w:rPr>
          <w:rFonts w:eastAsia="楷体_GB2312"/>
          <w:bCs/>
        </w:rPr>
        <w:t>（一）</w:t>
      </w:r>
      <w:bookmarkStart w:id="103" w:name="_Hlk213690023"/>
      <w:r>
        <w:rPr>
          <w:rFonts w:eastAsia="楷体_GB2312"/>
          <w:bCs/>
        </w:rPr>
        <w:t>加强组织协调，夯实属地责任</w:t>
      </w:r>
      <w:bookmarkEnd w:id="101"/>
      <w:bookmarkEnd w:id="102"/>
      <w:bookmarkEnd w:id="103"/>
    </w:p>
    <w:p w14:paraId="4EFA07D3">
      <w:pPr>
        <w:widowControl/>
        <w:spacing w:after="0" w:line="360" w:lineRule="auto"/>
        <w:ind w:firstLine="643" w:firstLineChars="0"/>
        <w:jc w:val="left"/>
      </w:pPr>
      <w:r>
        <w:t>强化各相关部门</w:t>
      </w:r>
      <w:r>
        <w:rPr>
          <w:rFonts w:hint="eastAsia" w:ascii="仿宋_GB2312" w:hAnsi="仿宋_GB2312" w:cs="仿宋_GB2312"/>
        </w:rPr>
        <w:t>间统筹协作，加强政策合力。</w:t>
      </w:r>
      <w:r>
        <w:rPr>
          <w:rFonts w:hint="default" w:ascii="Times New Roman" w:hAnsi="Times New Roman" w:cs="Times New Roman"/>
        </w:rPr>
        <w:t>各镇街（园区）</w:t>
      </w:r>
      <w:r>
        <w:rPr>
          <w:rFonts w:hint="eastAsia" w:ascii="仿宋_GB2312" w:hAnsi="仿宋_GB2312" w:cs="仿宋_GB2312"/>
        </w:rPr>
        <w:t>应</w:t>
      </w:r>
      <w:r>
        <w:rPr>
          <w:rFonts w:hint="eastAsia" w:ascii="仿宋_GB2312" w:hAnsi="仿宋_GB2312" w:cs="仿宋_GB2312"/>
          <w:lang w:eastAsia="zh-CN"/>
        </w:rPr>
        <w:t>具体</w:t>
      </w:r>
      <w:r>
        <w:rPr>
          <w:rFonts w:hint="eastAsia" w:ascii="仿宋_GB2312" w:hAnsi="仿宋_GB2312" w:cs="仿宋_GB2312"/>
        </w:rPr>
        <w:t>落实本规划工作要求。对落实规划不力或</w:t>
      </w:r>
      <w:r>
        <w:t>违反规划的行为，及时纠偏调整并追究相关责任。</w:t>
      </w:r>
    </w:p>
    <w:p w14:paraId="4E954C2B">
      <w:pPr>
        <w:spacing w:after="0" w:line="360" w:lineRule="auto"/>
        <w:ind w:firstLine="640" w:firstLineChars="200"/>
        <w:outlineLvl w:val="1"/>
        <w:rPr>
          <w:rFonts w:eastAsia="楷体_GB2312"/>
          <w:bCs/>
        </w:rPr>
      </w:pPr>
      <w:bookmarkStart w:id="104" w:name="_Toc226725748"/>
      <w:bookmarkStart w:id="105" w:name="_Toc15878"/>
      <w:r>
        <w:rPr>
          <w:rFonts w:eastAsia="楷体_GB2312"/>
          <w:bCs/>
        </w:rPr>
        <w:t>（二）</w:t>
      </w:r>
      <w:bookmarkStart w:id="106" w:name="_Hlk213690034"/>
      <w:r>
        <w:rPr>
          <w:rFonts w:eastAsia="楷体_GB2312"/>
          <w:bCs/>
        </w:rPr>
        <w:t>编制年度计划，实施中期评估</w:t>
      </w:r>
      <w:bookmarkEnd w:id="104"/>
      <w:bookmarkEnd w:id="105"/>
      <w:bookmarkEnd w:id="106"/>
    </w:p>
    <w:p w14:paraId="0D709B30">
      <w:pPr>
        <w:widowControl/>
        <w:spacing w:after="0" w:line="360" w:lineRule="auto"/>
        <w:ind w:firstLine="640" w:firstLineChars="200"/>
      </w:pPr>
      <w:r>
        <w:t>依据本规划编制年度实施计划，合理安排每年度各地区的住房发展计划。在规划中期开展规划实施评估工作，及时调整规划内容。</w:t>
      </w:r>
    </w:p>
    <w:p w14:paraId="0311A55C">
      <w:pPr>
        <w:spacing w:after="0" w:line="360" w:lineRule="auto"/>
        <w:ind w:firstLine="640" w:firstLineChars="200"/>
        <w:outlineLvl w:val="1"/>
        <w:rPr>
          <w:rFonts w:eastAsia="楷体_GB2312"/>
          <w:bCs/>
        </w:rPr>
      </w:pPr>
      <w:bookmarkStart w:id="107" w:name="_Toc226725749"/>
      <w:bookmarkStart w:id="108" w:name="_Toc18248"/>
      <w:r>
        <w:rPr>
          <w:rFonts w:eastAsia="楷体_GB2312"/>
          <w:bCs/>
        </w:rPr>
        <w:t>（三）</w:t>
      </w:r>
      <w:bookmarkStart w:id="109" w:name="_Hlk213690041"/>
      <w:r>
        <w:rPr>
          <w:rFonts w:eastAsia="楷体_GB2312"/>
          <w:bCs/>
        </w:rPr>
        <w:t>加强公众参与，引导公众监督</w:t>
      </w:r>
      <w:bookmarkEnd w:id="107"/>
      <w:bookmarkEnd w:id="108"/>
      <w:bookmarkEnd w:id="109"/>
    </w:p>
    <w:p w14:paraId="3B2C578F">
      <w:pPr>
        <w:widowControl/>
        <w:spacing w:after="0" w:line="360" w:lineRule="auto"/>
        <w:ind w:firstLine="640" w:firstLineChars="200"/>
      </w:pPr>
      <w:r>
        <w:t>完善民主监督机制</w:t>
      </w:r>
      <w:r>
        <w:rPr>
          <w:rFonts w:hint="eastAsia"/>
        </w:rPr>
        <w:t>，</w:t>
      </w:r>
      <w:r>
        <w:t>通过征求意见、成果公示、座谈交流等方式加强公众参与规划编制与实施。及时向社会公开规划实施情况，接受社会监督</w:t>
      </w:r>
      <w:r>
        <w:rPr>
          <w:rFonts w:hint="eastAsia"/>
        </w:rPr>
        <w:t>。</w:t>
      </w:r>
      <w:r>
        <w:t xml:space="preserve"> </w:t>
      </w:r>
    </w:p>
    <w:p w14:paraId="2944A10E">
      <w:pPr>
        <w:widowControl/>
        <w:spacing w:after="0" w:line="240" w:lineRule="auto"/>
        <w:jc w:val="left"/>
      </w:pPr>
      <w:r>
        <w:br w:type="page"/>
      </w:r>
    </w:p>
    <w:p w14:paraId="353518D1">
      <w:pPr>
        <w:pStyle w:val="2"/>
        <w:spacing w:after="0" w:line="360" w:lineRule="auto"/>
        <w:rPr>
          <w:rFonts w:ascii="Times New Roman" w:hAnsi="Times New Roman"/>
        </w:rPr>
      </w:pPr>
      <w:bookmarkStart w:id="110" w:name="_Toc26190"/>
      <w:bookmarkStart w:id="111" w:name="_Toc226725750"/>
      <w:r>
        <w:rPr>
          <w:rFonts w:ascii="Times New Roman" w:hAnsi="Times New Roman"/>
        </w:rPr>
        <w:t>附表</w:t>
      </w:r>
      <w:bookmarkEnd w:id="110"/>
      <w:bookmarkEnd w:id="111"/>
    </w:p>
    <w:p w14:paraId="43484E35">
      <w:pPr>
        <w:spacing w:after="0" w:line="360" w:lineRule="auto"/>
        <w:jc w:val="center"/>
        <w:rPr>
          <w:rFonts w:eastAsia="黑体"/>
          <w:sz w:val="24"/>
          <w:szCs w:val="24"/>
        </w:rPr>
      </w:pPr>
      <w:r>
        <w:rPr>
          <w:rFonts w:eastAsia="黑体"/>
          <w:sz w:val="24"/>
          <w:szCs w:val="24"/>
        </w:rPr>
        <w:t>表</w:t>
      </w:r>
      <w:r>
        <w:rPr>
          <w:rFonts w:hint="eastAsia" w:eastAsia="黑体"/>
          <w:sz w:val="24"/>
          <w:szCs w:val="24"/>
        </w:rPr>
        <w:t xml:space="preserve">1 </w:t>
      </w:r>
      <w:r>
        <w:rPr>
          <w:rFonts w:eastAsia="黑体"/>
          <w:sz w:val="24"/>
          <w:szCs w:val="24"/>
        </w:rPr>
        <w:t>东莞市</w:t>
      </w:r>
      <w:r>
        <w:rPr>
          <w:rFonts w:ascii="黑体" w:hAnsi="黑体" w:eastAsia="黑体" w:cs="黑体"/>
          <w:sz w:val="24"/>
          <w:szCs w:val="24"/>
        </w:rPr>
        <w:t>“</w:t>
      </w:r>
      <w:r>
        <w:rPr>
          <w:rFonts w:eastAsia="黑体"/>
          <w:sz w:val="24"/>
          <w:szCs w:val="24"/>
        </w:rPr>
        <w:t>十四五</w:t>
      </w:r>
      <w:r>
        <w:rPr>
          <w:rFonts w:ascii="黑体" w:hAnsi="黑体" w:eastAsia="黑体" w:cs="黑体"/>
          <w:sz w:val="24"/>
          <w:szCs w:val="24"/>
        </w:rPr>
        <w:t>”</w:t>
      </w:r>
      <w:r>
        <w:rPr>
          <w:rFonts w:eastAsia="黑体"/>
          <w:sz w:val="24"/>
          <w:szCs w:val="24"/>
        </w:rPr>
        <w:t>住房发展规划目标完成情况</w:t>
      </w:r>
    </w:p>
    <w:tbl>
      <w:tblPr>
        <w:tblStyle w:val="29"/>
        <w:tblW w:w="5072" w:type="pct"/>
        <w:tblInd w:w="0" w:type="dxa"/>
        <w:tblLayout w:type="fixed"/>
        <w:tblCellMar>
          <w:top w:w="0" w:type="dxa"/>
          <w:left w:w="108" w:type="dxa"/>
          <w:bottom w:w="0" w:type="dxa"/>
          <w:right w:w="108" w:type="dxa"/>
        </w:tblCellMar>
      </w:tblPr>
      <w:tblGrid>
        <w:gridCol w:w="544"/>
        <w:gridCol w:w="3160"/>
        <w:gridCol w:w="1073"/>
        <w:gridCol w:w="915"/>
        <w:gridCol w:w="929"/>
        <w:gridCol w:w="1085"/>
        <w:gridCol w:w="1423"/>
        <w:gridCol w:w="7"/>
      </w:tblGrid>
      <w:tr w14:paraId="479CD8FD">
        <w:tblPrEx>
          <w:tblCellMar>
            <w:top w:w="0" w:type="dxa"/>
            <w:left w:w="108" w:type="dxa"/>
            <w:bottom w:w="0" w:type="dxa"/>
            <w:right w:w="108" w:type="dxa"/>
          </w:tblCellMar>
        </w:tblPrEx>
        <w:trPr>
          <w:trHeight w:val="559" w:hRule="atLeast"/>
          <w:tblHeader/>
        </w:trPr>
        <w:tc>
          <w:tcPr>
            <w:tcW w:w="544" w:type="dxa"/>
            <w:tcBorders>
              <w:top w:val="single" w:color="000000" w:sz="4" w:space="0"/>
              <w:left w:val="single" w:color="000000" w:sz="4" w:space="0"/>
              <w:bottom w:val="single" w:color="000000" w:sz="4" w:space="0"/>
              <w:right w:val="single" w:color="000000" w:sz="4" w:space="0"/>
            </w:tcBorders>
            <w:vAlign w:val="center"/>
          </w:tcPr>
          <w:p w14:paraId="57AA5771">
            <w:pPr>
              <w:widowControl/>
              <w:spacing w:after="0" w:line="240" w:lineRule="atLeast"/>
              <w:jc w:val="center"/>
              <w:textAlignment w:val="center"/>
              <w:rPr>
                <w:b/>
                <w:bCs/>
                <w:sz w:val="24"/>
                <w:szCs w:val="24"/>
              </w:rPr>
            </w:pPr>
            <w:r>
              <w:rPr>
                <w:b/>
                <w:bCs/>
                <w:kern w:val="0"/>
                <w:sz w:val="24"/>
                <w:szCs w:val="24"/>
              </w:rPr>
              <w:t>序号</w:t>
            </w:r>
          </w:p>
        </w:tc>
        <w:tc>
          <w:tcPr>
            <w:tcW w:w="3160" w:type="dxa"/>
            <w:tcBorders>
              <w:top w:val="single" w:color="000000" w:sz="4" w:space="0"/>
              <w:left w:val="single" w:color="000000" w:sz="4" w:space="0"/>
              <w:bottom w:val="single" w:color="000000" w:sz="4" w:space="0"/>
              <w:right w:val="single" w:color="000000" w:sz="4" w:space="0"/>
            </w:tcBorders>
            <w:vAlign w:val="center"/>
          </w:tcPr>
          <w:p w14:paraId="65DF541E">
            <w:pPr>
              <w:widowControl/>
              <w:spacing w:after="0" w:line="240" w:lineRule="atLeast"/>
              <w:jc w:val="center"/>
              <w:textAlignment w:val="center"/>
              <w:rPr>
                <w:b/>
                <w:bCs/>
                <w:sz w:val="24"/>
                <w:szCs w:val="24"/>
              </w:rPr>
            </w:pPr>
            <w:r>
              <w:rPr>
                <w:b/>
                <w:bCs/>
                <w:kern w:val="0"/>
                <w:sz w:val="24"/>
                <w:szCs w:val="24"/>
              </w:rPr>
              <w:t>指标</w:t>
            </w:r>
          </w:p>
        </w:tc>
        <w:tc>
          <w:tcPr>
            <w:tcW w:w="1073" w:type="dxa"/>
            <w:tcBorders>
              <w:top w:val="single" w:color="000000" w:sz="4" w:space="0"/>
              <w:left w:val="single" w:color="000000" w:sz="4" w:space="0"/>
              <w:bottom w:val="single" w:color="000000" w:sz="4" w:space="0"/>
              <w:right w:val="single" w:color="000000" w:sz="4" w:space="0"/>
            </w:tcBorders>
            <w:vAlign w:val="center"/>
          </w:tcPr>
          <w:p w14:paraId="11677519">
            <w:pPr>
              <w:widowControl/>
              <w:spacing w:after="0" w:line="240" w:lineRule="atLeast"/>
              <w:jc w:val="center"/>
              <w:textAlignment w:val="center"/>
              <w:rPr>
                <w:b/>
                <w:bCs/>
                <w:sz w:val="24"/>
                <w:szCs w:val="24"/>
              </w:rPr>
            </w:pPr>
            <w:r>
              <w:rPr>
                <w:b/>
                <w:bCs/>
                <w:kern w:val="0"/>
                <w:sz w:val="24"/>
                <w:szCs w:val="24"/>
              </w:rPr>
              <w:t>单位</w:t>
            </w:r>
          </w:p>
        </w:tc>
        <w:tc>
          <w:tcPr>
            <w:tcW w:w="915" w:type="dxa"/>
            <w:tcBorders>
              <w:top w:val="single" w:color="000000" w:sz="4" w:space="0"/>
              <w:left w:val="single" w:color="000000" w:sz="4" w:space="0"/>
              <w:bottom w:val="single" w:color="000000" w:sz="4" w:space="0"/>
              <w:right w:val="single" w:color="000000" w:sz="4" w:space="0"/>
            </w:tcBorders>
            <w:vAlign w:val="center"/>
          </w:tcPr>
          <w:p w14:paraId="10359F71">
            <w:pPr>
              <w:widowControl/>
              <w:spacing w:after="0" w:line="240" w:lineRule="atLeast"/>
              <w:jc w:val="center"/>
              <w:textAlignment w:val="center"/>
              <w:rPr>
                <w:b/>
                <w:bCs/>
                <w:kern w:val="0"/>
                <w:sz w:val="24"/>
                <w:szCs w:val="24"/>
              </w:rPr>
            </w:pPr>
            <w:r>
              <w:rPr>
                <w:b/>
                <w:bCs/>
                <w:kern w:val="0"/>
                <w:sz w:val="24"/>
                <w:szCs w:val="24"/>
              </w:rPr>
              <w:t>规划</w:t>
            </w:r>
          </w:p>
          <w:p w14:paraId="77F3218B">
            <w:pPr>
              <w:widowControl/>
              <w:spacing w:after="0" w:line="240" w:lineRule="atLeast"/>
              <w:jc w:val="center"/>
              <w:textAlignment w:val="center"/>
              <w:rPr>
                <w:b/>
                <w:bCs/>
                <w:sz w:val="24"/>
                <w:szCs w:val="24"/>
              </w:rPr>
            </w:pPr>
            <w:r>
              <w:rPr>
                <w:b/>
                <w:bCs/>
                <w:kern w:val="0"/>
                <w:sz w:val="24"/>
                <w:szCs w:val="24"/>
              </w:rPr>
              <w:t>目标</w:t>
            </w:r>
          </w:p>
        </w:tc>
        <w:tc>
          <w:tcPr>
            <w:tcW w:w="929" w:type="dxa"/>
            <w:tcBorders>
              <w:top w:val="single" w:color="000000" w:sz="4" w:space="0"/>
              <w:left w:val="single" w:color="000000" w:sz="4" w:space="0"/>
              <w:bottom w:val="single" w:color="000000" w:sz="4" w:space="0"/>
              <w:right w:val="single" w:color="000000" w:sz="4" w:space="0"/>
            </w:tcBorders>
            <w:vAlign w:val="center"/>
          </w:tcPr>
          <w:p w14:paraId="1ED53525">
            <w:pPr>
              <w:widowControl/>
              <w:spacing w:after="0" w:line="240" w:lineRule="atLeast"/>
              <w:jc w:val="center"/>
              <w:textAlignment w:val="center"/>
              <w:rPr>
                <w:b/>
                <w:bCs/>
                <w:kern w:val="0"/>
                <w:sz w:val="24"/>
                <w:szCs w:val="24"/>
              </w:rPr>
            </w:pPr>
            <w:r>
              <w:rPr>
                <w:b/>
                <w:bCs/>
                <w:kern w:val="0"/>
                <w:sz w:val="24"/>
                <w:szCs w:val="24"/>
              </w:rPr>
              <w:t>实际</w:t>
            </w:r>
          </w:p>
          <w:p w14:paraId="680CB9F2">
            <w:pPr>
              <w:widowControl/>
              <w:spacing w:after="0" w:line="240" w:lineRule="atLeast"/>
              <w:jc w:val="center"/>
              <w:textAlignment w:val="center"/>
              <w:rPr>
                <w:b/>
                <w:bCs/>
                <w:sz w:val="24"/>
                <w:szCs w:val="24"/>
              </w:rPr>
            </w:pPr>
            <w:r>
              <w:rPr>
                <w:b/>
                <w:bCs/>
                <w:kern w:val="0"/>
                <w:sz w:val="24"/>
                <w:szCs w:val="24"/>
              </w:rPr>
              <w:t>完成</w:t>
            </w:r>
          </w:p>
        </w:tc>
        <w:tc>
          <w:tcPr>
            <w:tcW w:w="1085" w:type="dxa"/>
            <w:tcBorders>
              <w:top w:val="single" w:color="000000" w:sz="4" w:space="0"/>
              <w:left w:val="single" w:color="000000" w:sz="4" w:space="0"/>
              <w:bottom w:val="single" w:color="000000" w:sz="4" w:space="0"/>
              <w:right w:val="single" w:color="000000" w:sz="4" w:space="0"/>
            </w:tcBorders>
            <w:vAlign w:val="center"/>
          </w:tcPr>
          <w:p w14:paraId="72B999F0">
            <w:pPr>
              <w:widowControl/>
              <w:spacing w:after="0" w:line="240" w:lineRule="atLeast"/>
              <w:jc w:val="center"/>
              <w:textAlignment w:val="center"/>
              <w:rPr>
                <w:b/>
                <w:bCs/>
                <w:sz w:val="24"/>
                <w:szCs w:val="24"/>
              </w:rPr>
            </w:pPr>
            <w:r>
              <w:rPr>
                <w:b/>
                <w:bCs/>
                <w:kern w:val="0"/>
                <w:sz w:val="24"/>
                <w:szCs w:val="24"/>
              </w:rPr>
              <w:t>属性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5B70DD71">
            <w:pPr>
              <w:widowControl/>
              <w:spacing w:after="0" w:line="240" w:lineRule="atLeast"/>
              <w:jc w:val="center"/>
              <w:textAlignment w:val="center"/>
              <w:rPr>
                <w:b/>
                <w:bCs/>
                <w:sz w:val="24"/>
                <w:szCs w:val="24"/>
              </w:rPr>
            </w:pPr>
            <w:r>
              <w:rPr>
                <w:b/>
                <w:bCs/>
                <w:kern w:val="0"/>
                <w:sz w:val="24"/>
                <w:szCs w:val="24"/>
              </w:rPr>
              <w:t>完成情况</w:t>
            </w:r>
          </w:p>
        </w:tc>
      </w:tr>
      <w:tr w14:paraId="09EC34D1">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3661AD5">
            <w:pPr>
              <w:widowControl/>
              <w:spacing w:after="0" w:line="240" w:lineRule="atLeast"/>
              <w:jc w:val="center"/>
              <w:textAlignment w:val="center"/>
              <w:rPr>
                <w:sz w:val="24"/>
                <w:szCs w:val="24"/>
              </w:rPr>
            </w:pPr>
            <w:r>
              <w:rPr>
                <w:kern w:val="0"/>
                <w:sz w:val="24"/>
                <w:szCs w:val="24"/>
              </w:rPr>
              <w:t>1</w:t>
            </w:r>
          </w:p>
        </w:tc>
        <w:tc>
          <w:tcPr>
            <w:tcW w:w="3160" w:type="dxa"/>
            <w:tcBorders>
              <w:top w:val="single" w:color="000000" w:sz="4" w:space="0"/>
              <w:left w:val="single" w:color="000000" w:sz="4" w:space="0"/>
              <w:bottom w:val="single" w:color="000000" w:sz="4" w:space="0"/>
              <w:right w:val="single" w:color="000000" w:sz="4" w:space="0"/>
            </w:tcBorders>
            <w:vAlign w:val="center"/>
          </w:tcPr>
          <w:p w14:paraId="65E3726F">
            <w:pPr>
              <w:spacing w:after="0" w:line="240" w:lineRule="atLeast"/>
              <w:jc w:val="center"/>
              <w:rPr>
                <w:sz w:val="24"/>
                <w:szCs w:val="24"/>
              </w:rPr>
            </w:pPr>
            <w:r>
              <w:rPr>
                <w:rFonts w:hint="eastAsia"/>
                <w:sz w:val="24"/>
              </w:rPr>
              <w:t>新开工商品住房</w:t>
            </w:r>
          </w:p>
        </w:tc>
        <w:tc>
          <w:tcPr>
            <w:tcW w:w="1073" w:type="dxa"/>
            <w:tcBorders>
              <w:top w:val="single" w:color="000000" w:sz="4" w:space="0"/>
              <w:left w:val="single" w:color="000000" w:sz="4" w:space="0"/>
              <w:bottom w:val="single" w:color="000000" w:sz="4" w:space="0"/>
              <w:right w:val="single" w:color="000000" w:sz="4" w:space="0"/>
            </w:tcBorders>
            <w:vAlign w:val="center"/>
          </w:tcPr>
          <w:p w14:paraId="6AD7E17B">
            <w:pPr>
              <w:spacing w:after="0" w:line="240" w:lineRule="atLeast"/>
              <w:jc w:val="center"/>
              <w:rPr>
                <w:sz w:val="24"/>
                <w:szCs w:val="24"/>
              </w:rPr>
            </w:pPr>
            <w:r>
              <w:rPr>
                <w:rFonts w:hint="eastAsia"/>
                <w:sz w:val="24"/>
              </w:rPr>
              <w:t>万套</w:t>
            </w:r>
          </w:p>
        </w:tc>
        <w:tc>
          <w:tcPr>
            <w:tcW w:w="915" w:type="dxa"/>
            <w:tcBorders>
              <w:top w:val="single" w:color="000000" w:sz="4" w:space="0"/>
              <w:left w:val="single" w:color="000000" w:sz="4" w:space="0"/>
              <w:bottom w:val="single" w:color="000000" w:sz="4" w:space="0"/>
              <w:right w:val="single" w:color="000000" w:sz="4" w:space="0"/>
            </w:tcBorders>
            <w:vAlign w:val="center"/>
          </w:tcPr>
          <w:p w14:paraId="7DC1FAEC">
            <w:pPr>
              <w:spacing w:after="0" w:line="240" w:lineRule="atLeast"/>
              <w:jc w:val="center"/>
              <w:rPr>
                <w:sz w:val="24"/>
                <w:szCs w:val="24"/>
              </w:rPr>
            </w:pPr>
            <w:r>
              <w:rPr>
                <w:sz w:val="24"/>
                <w:szCs w:val="24"/>
              </w:rPr>
              <w:t>[</w:t>
            </w:r>
            <w:r>
              <w:rPr>
                <w:rFonts w:hint="eastAsia"/>
                <w:sz w:val="24"/>
                <w:szCs w:val="24"/>
              </w:rPr>
              <w:t>35</w:t>
            </w:r>
            <w:r>
              <w:rPr>
                <w:sz w:val="24"/>
                <w:szCs w:val="24"/>
              </w:rPr>
              <w:t>]</w:t>
            </w:r>
          </w:p>
        </w:tc>
        <w:tc>
          <w:tcPr>
            <w:tcW w:w="929" w:type="dxa"/>
            <w:tcBorders>
              <w:top w:val="single" w:color="000000" w:sz="4" w:space="0"/>
              <w:left w:val="single" w:color="000000" w:sz="4" w:space="0"/>
              <w:bottom w:val="single" w:color="000000" w:sz="4" w:space="0"/>
              <w:right w:val="single" w:color="000000" w:sz="4" w:space="0"/>
            </w:tcBorders>
            <w:vAlign w:val="center"/>
          </w:tcPr>
          <w:p w14:paraId="3F0018AA">
            <w:pPr>
              <w:spacing w:after="0" w:line="240" w:lineRule="atLeast"/>
              <w:jc w:val="center"/>
              <w:rPr>
                <w:sz w:val="24"/>
                <w:szCs w:val="24"/>
              </w:rPr>
            </w:pPr>
            <w:r>
              <w:rPr>
                <w:rFonts w:hint="eastAsia"/>
                <w:sz w:val="24"/>
                <w:szCs w:val="24"/>
              </w:rPr>
              <w:t>[11.79]</w:t>
            </w:r>
          </w:p>
        </w:tc>
        <w:tc>
          <w:tcPr>
            <w:tcW w:w="1085" w:type="dxa"/>
            <w:tcBorders>
              <w:top w:val="single" w:color="000000" w:sz="4" w:space="0"/>
              <w:left w:val="single" w:color="000000" w:sz="4" w:space="0"/>
              <w:bottom w:val="single" w:color="000000" w:sz="4" w:space="0"/>
              <w:right w:val="single" w:color="000000" w:sz="4" w:space="0"/>
            </w:tcBorders>
            <w:vAlign w:val="center"/>
          </w:tcPr>
          <w:p w14:paraId="4577995D">
            <w:pPr>
              <w:spacing w:after="0" w:line="240" w:lineRule="atLeast"/>
              <w:jc w:val="center"/>
              <w:rPr>
                <w:sz w:val="24"/>
                <w:szCs w:val="24"/>
              </w:rPr>
            </w:pPr>
            <w:r>
              <w:rPr>
                <w:rFonts w:hint="eastAsia"/>
                <w:sz w:val="24"/>
                <w:szCs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4E8DCE46">
            <w:pPr>
              <w:spacing w:after="0" w:line="240" w:lineRule="atLeast"/>
              <w:jc w:val="center"/>
              <w:rPr>
                <w:sz w:val="24"/>
                <w:szCs w:val="24"/>
              </w:rPr>
            </w:pPr>
            <w:r>
              <w:rPr>
                <w:rFonts w:hint="eastAsia"/>
                <w:sz w:val="24"/>
                <w:szCs w:val="24"/>
              </w:rPr>
              <w:t xml:space="preserve">33.69% </w:t>
            </w:r>
          </w:p>
        </w:tc>
      </w:tr>
      <w:tr w14:paraId="2DD76C31">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735652A7">
            <w:pPr>
              <w:widowControl/>
              <w:spacing w:after="0" w:line="240" w:lineRule="atLeast"/>
              <w:jc w:val="center"/>
              <w:textAlignment w:val="center"/>
              <w:rPr>
                <w:sz w:val="24"/>
                <w:szCs w:val="24"/>
              </w:rPr>
            </w:pPr>
            <w:r>
              <w:rPr>
                <w:kern w:val="0"/>
                <w:sz w:val="24"/>
                <w:szCs w:val="24"/>
              </w:rPr>
              <w:t>2</w:t>
            </w:r>
          </w:p>
        </w:tc>
        <w:tc>
          <w:tcPr>
            <w:tcW w:w="3160" w:type="dxa"/>
            <w:tcBorders>
              <w:top w:val="single" w:color="000000" w:sz="4" w:space="0"/>
              <w:left w:val="single" w:color="000000" w:sz="4" w:space="0"/>
              <w:bottom w:val="single" w:color="000000" w:sz="4" w:space="0"/>
              <w:right w:val="single" w:color="000000" w:sz="4" w:space="0"/>
            </w:tcBorders>
            <w:vAlign w:val="center"/>
          </w:tcPr>
          <w:p w14:paraId="7A1AF46B">
            <w:pPr>
              <w:spacing w:after="0" w:line="240" w:lineRule="atLeast"/>
              <w:jc w:val="center"/>
              <w:rPr>
                <w:sz w:val="24"/>
                <w:szCs w:val="24"/>
              </w:rPr>
            </w:pPr>
            <w:r>
              <w:rPr>
                <w:rFonts w:hint="eastAsia"/>
                <w:sz w:val="24"/>
              </w:rPr>
              <w:t>筹集建设保障性住房</w:t>
            </w:r>
          </w:p>
        </w:tc>
        <w:tc>
          <w:tcPr>
            <w:tcW w:w="1073" w:type="dxa"/>
            <w:tcBorders>
              <w:top w:val="single" w:color="000000" w:sz="4" w:space="0"/>
              <w:left w:val="single" w:color="000000" w:sz="4" w:space="0"/>
              <w:bottom w:val="single" w:color="000000" w:sz="4" w:space="0"/>
              <w:right w:val="single" w:color="000000" w:sz="4" w:space="0"/>
            </w:tcBorders>
            <w:vAlign w:val="center"/>
          </w:tcPr>
          <w:p w14:paraId="6CCA96A6">
            <w:pPr>
              <w:spacing w:after="0" w:line="240" w:lineRule="atLeast"/>
              <w:jc w:val="center"/>
              <w:rPr>
                <w:sz w:val="24"/>
                <w:szCs w:val="24"/>
              </w:rPr>
            </w:pPr>
            <w:r>
              <w:rPr>
                <w:rFonts w:hint="eastAsia"/>
                <w:sz w:val="24"/>
              </w:rPr>
              <w:t>万套</w:t>
            </w:r>
            <w:r>
              <w:rPr>
                <w:rFonts w:hint="eastAsia" w:cs="Times New Roman"/>
                <w:sz w:val="24"/>
              </w:rPr>
              <w:t>/间</w:t>
            </w:r>
          </w:p>
        </w:tc>
        <w:tc>
          <w:tcPr>
            <w:tcW w:w="915" w:type="dxa"/>
            <w:tcBorders>
              <w:top w:val="single" w:color="000000" w:sz="4" w:space="0"/>
              <w:left w:val="single" w:color="000000" w:sz="4" w:space="0"/>
              <w:bottom w:val="single" w:color="000000" w:sz="4" w:space="0"/>
              <w:right w:val="single" w:color="000000" w:sz="4" w:space="0"/>
            </w:tcBorders>
            <w:vAlign w:val="center"/>
          </w:tcPr>
          <w:p w14:paraId="07F2B778">
            <w:pPr>
              <w:spacing w:after="0" w:line="240" w:lineRule="atLeast"/>
              <w:jc w:val="center"/>
              <w:rPr>
                <w:sz w:val="24"/>
                <w:szCs w:val="24"/>
              </w:rPr>
            </w:pPr>
            <w:r>
              <w:rPr>
                <w:sz w:val="24"/>
                <w:szCs w:val="24"/>
              </w:rPr>
              <w:t>[</w:t>
            </w:r>
            <w:r>
              <w:rPr>
                <w:rFonts w:hint="eastAsia"/>
                <w:sz w:val="24"/>
                <w:szCs w:val="24"/>
              </w:rPr>
              <w:t>15</w:t>
            </w:r>
            <w:r>
              <w:rPr>
                <w:sz w:val="24"/>
                <w:szCs w:val="24"/>
              </w:rPr>
              <w:t>]</w:t>
            </w:r>
          </w:p>
        </w:tc>
        <w:tc>
          <w:tcPr>
            <w:tcW w:w="929" w:type="dxa"/>
            <w:tcBorders>
              <w:top w:val="single" w:color="000000" w:sz="4" w:space="0"/>
              <w:left w:val="single" w:color="000000" w:sz="4" w:space="0"/>
              <w:bottom w:val="single" w:color="000000" w:sz="4" w:space="0"/>
              <w:right w:val="single" w:color="000000" w:sz="4" w:space="0"/>
            </w:tcBorders>
            <w:vAlign w:val="center"/>
          </w:tcPr>
          <w:p w14:paraId="13A6BABC">
            <w:pPr>
              <w:spacing w:after="0" w:line="240" w:lineRule="atLeast"/>
              <w:jc w:val="center"/>
              <w:rPr>
                <w:sz w:val="24"/>
                <w:szCs w:val="24"/>
              </w:rPr>
            </w:pPr>
            <w:r>
              <w:rPr>
                <w:rFonts w:hint="eastAsia"/>
                <w:sz w:val="24"/>
                <w:szCs w:val="24"/>
              </w:rPr>
              <w:t>[11.94]</w:t>
            </w:r>
          </w:p>
        </w:tc>
        <w:tc>
          <w:tcPr>
            <w:tcW w:w="1085" w:type="dxa"/>
            <w:tcBorders>
              <w:top w:val="single" w:color="000000" w:sz="4" w:space="0"/>
              <w:left w:val="single" w:color="000000" w:sz="4" w:space="0"/>
              <w:bottom w:val="single" w:color="000000" w:sz="4" w:space="0"/>
              <w:right w:val="single" w:color="000000" w:sz="4" w:space="0"/>
            </w:tcBorders>
            <w:vAlign w:val="center"/>
          </w:tcPr>
          <w:p w14:paraId="21F21C82">
            <w:pPr>
              <w:spacing w:after="0" w:line="240" w:lineRule="atLeast"/>
              <w:jc w:val="center"/>
              <w:rPr>
                <w:sz w:val="24"/>
                <w:szCs w:val="24"/>
              </w:rPr>
            </w:pPr>
            <w:r>
              <w:rPr>
                <w:rFonts w:hint="eastAsia"/>
                <w:sz w:val="24"/>
                <w:szCs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4A1654A2">
            <w:pPr>
              <w:spacing w:after="0" w:line="240" w:lineRule="atLeast"/>
              <w:jc w:val="center"/>
              <w:rPr>
                <w:sz w:val="24"/>
                <w:szCs w:val="24"/>
              </w:rPr>
            </w:pPr>
            <w:r>
              <w:rPr>
                <w:rFonts w:hint="eastAsia"/>
                <w:sz w:val="24"/>
                <w:szCs w:val="24"/>
              </w:rPr>
              <w:t>79.60%</w:t>
            </w:r>
          </w:p>
        </w:tc>
      </w:tr>
      <w:tr w14:paraId="193A7A8E">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DFB651D">
            <w:pPr>
              <w:widowControl/>
              <w:spacing w:after="0" w:line="240" w:lineRule="atLeast"/>
              <w:jc w:val="center"/>
              <w:textAlignment w:val="center"/>
              <w:rPr>
                <w:sz w:val="24"/>
                <w:szCs w:val="24"/>
              </w:rPr>
            </w:pPr>
            <w:r>
              <w:rPr>
                <w:kern w:val="0"/>
                <w:sz w:val="24"/>
                <w:szCs w:val="24"/>
              </w:rPr>
              <w:t>3</w:t>
            </w:r>
          </w:p>
        </w:tc>
        <w:tc>
          <w:tcPr>
            <w:tcW w:w="3160" w:type="dxa"/>
            <w:tcBorders>
              <w:top w:val="single" w:color="000000" w:sz="4" w:space="0"/>
              <w:left w:val="single" w:color="000000" w:sz="4" w:space="0"/>
              <w:bottom w:val="single" w:color="000000" w:sz="4" w:space="0"/>
              <w:right w:val="single" w:color="000000" w:sz="4" w:space="0"/>
            </w:tcBorders>
            <w:vAlign w:val="center"/>
          </w:tcPr>
          <w:p w14:paraId="2E6E3715">
            <w:pPr>
              <w:spacing w:after="0" w:line="240" w:lineRule="atLeast"/>
              <w:jc w:val="center"/>
              <w:rPr>
                <w:sz w:val="24"/>
              </w:rPr>
            </w:pPr>
            <w:r>
              <w:rPr>
                <w:rFonts w:hint="eastAsia"/>
                <w:sz w:val="24"/>
              </w:rPr>
              <w:t>商品住房和保障性住房</w:t>
            </w:r>
          </w:p>
          <w:p w14:paraId="7F34A683">
            <w:pPr>
              <w:spacing w:after="0" w:line="240" w:lineRule="atLeast"/>
              <w:jc w:val="center"/>
              <w:rPr>
                <w:sz w:val="24"/>
                <w:szCs w:val="24"/>
              </w:rPr>
            </w:pPr>
            <w:r>
              <w:rPr>
                <w:rFonts w:hint="eastAsia"/>
                <w:sz w:val="24"/>
              </w:rPr>
              <w:t>筹建规模占比</w:t>
            </w:r>
          </w:p>
        </w:tc>
        <w:tc>
          <w:tcPr>
            <w:tcW w:w="1073" w:type="dxa"/>
            <w:tcBorders>
              <w:top w:val="single" w:color="000000" w:sz="4" w:space="0"/>
              <w:left w:val="single" w:color="000000" w:sz="4" w:space="0"/>
              <w:bottom w:val="single" w:color="000000" w:sz="4" w:space="0"/>
              <w:right w:val="single" w:color="000000" w:sz="4" w:space="0"/>
            </w:tcBorders>
            <w:vAlign w:val="center"/>
          </w:tcPr>
          <w:p w14:paraId="2431B546">
            <w:pPr>
              <w:spacing w:after="0" w:line="240" w:lineRule="atLeast"/>
              <w:jc w:val="center"/>
              <w:rPr>
                <w:sz w:val="24"/>
                <w:szCs w:val="24"/>
              </w:rPr>
            </w:pPr>
            <w:r>
              <w:rPr>
                <w:rFonts w:hint="eastAsia"/>
                <w:sz w:val="24"/>
              </w:rPr>
              <w:t>——</w:t>
            </w:r>
          </w:p>
        </w:tc>
        <w:tc>
          <w:tcPr>
            <w:tcW w:w="915" w:type="dxa"/>
            <w:tcBorders>
              <w:top w:val="single" w:color="000000" w:sz="4" w:space="0"/>
              <w:left w:val="single" w:color="000000" w:sz="4" w:space="0"/>
              <w:bottom w:val="single" w:color="000000" w:sz="4" w:space="0"/>
              <w:right w:val="single" w:color="000000" w:sz="4" w:space="0"/>
            </w:tcBorders>
            <w:vAlign w:val="center"/>
          </w:tcPr>
          <w:p w14:paraId="5BA61218">
            <w:pPr>
              <w:spacing w:after="0" w:line="240" w:lineRule="atLeast"/>
              <w:jc w:val="center"/>
              <w:rPr>
                <w:sz w:val="24"/>
                <w:szCs w:val="24"/>
              </w:rPr>
            </w:pPr>
            <w:r>
              <w:rPr>
                <w:sz w:val="24"/>
                <w:szCs w:val="24"/>
              </w:rPr>
              <w:t>70</w:t>
            </w:r>
            <w:r>
              <w:rPr>
                <w:rFonts w:hint="eastAsia"/>
                <w:sz w:val="24"/>
                <w:szCs w:val="24"/>
              </w:rPr>
              <w:t>:3</w:t>
            </w:r>
            <w:r>
              <w:rPr>
                <w:sz w:val="24"/>
                <w:szCs w:val="24"/>
              </w:rPr>
              <w:t>0</w:t>
            </w:r>
          </w:p>
        </w:tc>
        <w:tc>
          <w:tcPr>
            <w:tcW w:w="929" w:type="dxa"/>
            <w:tcBorders>
              <w:top w:val="single" w:color="000000" w:sz="4" w:space="0"/>
              <w:left w:val="single" w:color="000000" w:sz="4" w:space="0"/>
              <w:bottom w:val="single" w:color="000000" w:sz="4" w:space="0"/>
              <w:right w:val="single" w:color="000000" w:sz="4" w:space="0"/>
            </w:tcBorders>
            <w:vAlign w:val="center"/>
          </w:tcPr>
          <w:p w14:paraId="108779B3">
            <w:pPr>
              <w:spacing w:after="0" w:line="240" w:lineRule="atLeast"/>
              <w:jc w:val="center"/>
              <w:rPr>
                <w:sz w:val="24"/>
                <w:szCs w:val="24"/>
              </w:rPr>
            </w:pPr>
            <w:r>
              <w:rPr>
                <w:rFonts w:hint="eastAsia"/>
                <w:sz w:val="24"/>
                <w:szCs w:val="24"/>
              </w:rPr>
              <w:t>50:50</w:t>
            </w:r>
          </w:p>
        </w:tc>
        <w:tc>
          <w:tcPr>
            <w:tcW w:w="1085" w:type="dxa"/>
            <w:tcBorders>
              <w:top w:val="single" w:color="000000" w:sz="4" w:space="0"/>
              <w:left w:val="single" w:color="000000" w:sz="4" w:space="0"/>
              <w:bottom w:val="single" w:color="000000" w:sz="4" w:space="0"/>
              <w:right w:val="single" w:color="000000" w:sz="4" w:space="0"/>
            </w:tcBorders>
            <w:vAlign w:val="center"/>
          </w:tcPr>
          <w:p w14:paraId="710D4160">
            <w:pPr>
              <w:spacing w:after="0" w:line="240" w:lineRule="atLeast"/>
              <w:jc w:val="center"/>
              <w:rPr>
                <w:sz w:val="24"/>
                <w:szCs w:val="24"/>
              </w:rPr>
            </w:pPr>
            <w:r>
              <w:rPr>
                <w:rFonts w:hint="eastAsia"/>
                <w:sz w:val="24"/>
                <w:szCs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3AC6DBF5">
            <w:pPr>
              <w:spacing w:after="0" w:line="240" w:lineRule="atLeast"/>
              <w:jc w:val="center"/>
              <w:rPr>
                <w:sz w:val="24"/>
                <w:szCs w:val="24"/>
              </w:rPr>
            </w:pPr>
            <w:r>
              <w:rPr>
                <w:rFonts w:hint="eastAsia"/>
                <w:sz w:val="24"/>
                <w:szCs w:val="24"/>
              </w:rPr>
              <w:t>符合预期</w:t>
            </w:r>
          </w:p>
        </w:tc>
      </w:tr>
      <w:tr w14:paraId="287833D2">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3DF242B7">
            <w:pPr>
              <w:widowControl/>
              <w:spacing w:after="0" w:line="240" w:lineRule="atLeast"/>
              <w:jc w:val="center"/>
              <w:textAlignment w:val="center"/>
              <w:rPr>
                <w:sz w:val="24"/>
                <w:szCs w:val="24"/>
              </w:rPr>
            </w:pPr>
            <w:r>
              <w:rPr>
                <w:kern w:val="0"/>
                <w:sz w:val="24"/>
                <w:szCs w:val="24"/>
              </w:rPr>
              <w:t>4</w:t>
            </w:r>
          </w:p>
        </w:tc>
        <w:tc>
          <w:tcPr>
            <w:tcW w:w="3160" w:type="dxa"/>
            <w:tcBorders>
              <w:top w:val="single" w:color="000000" w:sz="4" w:space="0"/>
              <w:left w:val="single" w:color="000000" w:sz="4" w:space="0"/>
              <w:bottom w:val="single" w:color="000000" w:sz="4" w:space="0"/>
              <w:right w:val="single" w:color="000000" w:sz="4" w:space="0"/>
            </w:tcBorders>
            <w:vAlign w:val="center"/>
          </w:tcPr>
          <w:p w14:paraId="7281E1C6">
            <w:pPr>
              <w:spacing w:after="0" w:line="240" w:lineRule="atLeast"/>
              <w:jc w:val="center"/>
              <w:rPr>
                <w:sz w:val="24"/>
                <w:szCs w:val="24"/>
              </w:rPr>
            </w:pPr>
            <w:r>
              <w:rPr>
                <w:rFonts w:hint="eastAsia"/>
                <w:sz w:val="24"/>
              </w:rPr>
              <w:t>批准预售商品住房</w:t>
            </w:r>
          </w:p>
        </w:tc>
        <w:tc>
          <w:tcPr>
            <w:tcW w:w="1073" w:type="dxa"/>
            <w:tcBorders>
              <w:top w:val="single" w:color="000000" w:sz="4" w:space="0"/>
              <w:left w:val="single" w:color="000000" w:sz="4" w:space="0"/>
              <w:bottom w:val="single" w:color="000000" w:sz="4" w:space="0"/>
              <w:right w:val="single" w:color="000000" w:sz="4" w:space="0"/>
            </w:tcBorders>
            <w:vAlign w:val="center"/>
          </w:tcPr>
          <w:p w14:paraId="569AAF39">
            <w:pPr>
              <w:spacing w:after="0" w:line="240" w:lineRule="atLeast"/>
              <w:jc w:val="center"/>
              <w:rPr>
                <w:sz w:val="24"/>
                <w:szCs w:val="24"/>
              </w:rPr>
            </w:pPr>
            <w:r>
              <w:rPr>
                <w:rFonts w:hint="eastAsia"/>
                <w:sz w:val="24"/>
              </w:rPr>
              <w:t>万套</w:t>
            </w:r>
          </w:p>
        </w:tc>
        <w:tc>
          <w:tcPr>
            <w:tcW w:w="915" w:type="dxa"/>
            <w:tcBorders>
              <w:top w:val="single" w:color="000000" w:sz="4" w:space="0"/>
              <w:left w:val="single" w:color="000000" w:sz="4" w:space="0"/>
              <w:bottom w:val="single" w:color="000000" w:sz="4" w:space="0"/>
              <w:right w:val="single" w:color="000000" w:sz="4" w:space="0"/>
            </w:tcBorders>
            <w:vAlign w:val="center"/>
          </w:tcPr>
          <w:p w14:paraId="5941B558">
            <w:pPr>
              <w:spacing w:after="0" w:line="240" w:lineRule="atLeast"/>
              <w:jc w:val="center"/>
              <w:rPr>
                <w:sz w:val="24"/>
                <w:szCs w:val="24"/>
              </w:rPr>
            </w:pPr>
            <w:r>
              <w:rPr>
                <w:sz w:val="24"/>
              </w:rPr>
              <w:t>[</w:t>
            </w:r>
            <w:r>
              <w:rPr>
                <w:rFonts w:hint="eastAsia"/>
                <w:sz w:val="24"/>
              </w:rPr>
              <w:t>30</w:t>
            </w:r>
            <w:r>
              <w:rPr>
                <w:sz w:val="24"/>
              </w:rPr>
              <w:t>]</w:t>
            </w:r>
          </w:p>
        </w:tc>
        <w:tc>
          <w:tcPr>
            <w:tcW w:w="929" w:type="dxa"/>
            <w:tcBorders>
              <w:top w:val="single" w:color="000000" w:sz="4" w:space="0"/>
              <w:left w:val="single" w:color="000000" w:sz="4" w:space="0"/>
              <w:bottom w:val="single" w:color="000000" w:sz="4" w:space="0"/>
              <w:right w:val="single" w:color="000000" w:sz="4" w:space="0"/>
            </w:tcBorders>
            <w:vAlign w:val="center"/>
          </w:tcPr>
          <w:p w14:paraId="0A0B72BB">
            <w:pPr>
              <w:spacing w:after="0" w:line="240" w:lineRule="atLeast"/>
              <w:jc w:val="center"/>
              <w:rPr>
                <w:sz w:val="24"/>
                <w:szCs w:val="24"/>
              </w:rPr>
            </w:pPr>
            <w:r>
              <w:rPr>
                <w:rFonts w:hint="eastAsia"/>
                <w:sz w:val="24"/>
              </w:rPr>
              <w:t>[12.18]</w:t>
            </w:r>
          </w:p>
        </w:tc>
        <w:tc>
          <w:tcPr>
            <w:tcW w:w="1085" w:type="dxa"/>
            <w:tcBorders>
              <w:top w:val="single" w:color="000000" w:sz="4" w:space="0"/>
              <w:left w:val="single" w:color="000000" w:sz="4" w:space="0"/>
              <w:bottom w:val="single" w:color="000000" w:sz="4" w:space="0"/>
              <w:right w:val="single" w:color="000000" w:sz="4" w:space="0"/>
            </w:tcBorders>
            <w:vAlign w:val="center"/>
          </w:tcPr>
          <w:p w14:paraId="5CD47195">
            <w:pPr>
              <w:spacing w:after="0" w:line="240" w:lineRule="atLeast"/>
              <w:jc w:val="center"/>
              <w:rPr>
                <w:sz w:val="24"/>
                <w:szCs w:val="24"/>
              </w:rPr>
            </w:pPr>
            <w:r>
              <w:rPr>
                <w:rFonts w:hint="eastAsia"/>
                <w:sz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649BBB93">
            <w:pPr>
              <w:spacing w:after="0" w:line="240" w:lineRule="atLeast"/>
              <w:jc w:val="center"/>
              <w:rPr>
                <w:sz w:val="24"/>
                <w:szCs w:val="24"/>
              </w:rPr>
            </w:pPr>
            <w:r>
              <w:rPr>
                <w:rFonts w:hint="eastAsia"/>
                <w:sz w:val="24"/>
              </w:rPr>
              <w:t>40.61%</w:t>
            </w:r>
          </w:p>
        </w:tc>
      </w:tr>
      <w:tr w14:paraId="0156E071">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FE46E69">
            <w:pPr>
              <w:widowControl/>
              <w:spacing w:after="0" w:line="240" w:lineRule="atLeast"/>
              <w:jc w:val="center"/>
              <w:textAlignment w:val="center"/>
              <w:rPr>
                <w:sz w:val="24"/>
                <w:szCs w:val="24"/>
              </w:rPr>
            </w:pPr>
            <w:r>
              <w:rPr>
                <w:kern w:val="0"/>
                <w:sz w:val="24"/>
                <w:szCs w:val="24"/>
              </w:rPr>
              <w:t>5</w:t>
            </w:r>
          </w:p>
        </w:tc>
        <w:tc>
          <w:tcPr>
            <w:tcW w:w="3160" w:type="dxa"/>
            <w:tcBorders>
              <w:top w:val="single" w:color="000000" w:sz="4" w:space="0"/>
              <w:left w:val="single" w:color="000000" w:sz="4" w:space="0"/>
              <w:bottom w:val="single" w:color="000000" w:sz="4" w:space="0"/>
              <w:right w:val="single" w:color="000000" w:sz="4" w:space="0"/>
            </w:tcBorders>
            <w:vAlign w:val="center"/>
          </w:tcPr>
          <w:p w14:paraId="0508A204">
            <w:pPr>
              <w:spacing w:after="0" w:line="240" w:lineRule="atLeast"/>
              <w:jc w:val="center"/>
              <w:rPr>
                <w:sz w:val="24"/>
                <w:szCs w:val="24"/>
              </w:rPr>
            </w:pPr>
            <w:r>
              <w:rPr>
                <w:rFonts w:hint="eastAsia"/>
                <w:sz w:val="24"/>
              </w:rPr>
              <w:t>供应保障性住房</w:t>
            </w:r>
          </w:p>
        </w:tc>
        <w:tc>
          <w:tcPr>
            <w:tcW w:w="1073" w:type="dxa"/>
            <w:tcBorders>
              <w:top w:val="single" w:color="000000" w:sz="4" w:space="0"/>
              <w:left w:val="single" w:color="000000" w:sz="4" w:space="0"/>
              <w:bottom w:val="single" w:color="000000" w:sz="4" w:space="0"/>
              <w:right w:val="single" w:color="000000" w:sz="4" w:space="0"/>
            </w:tcBorders>
            <w:vAlign w:val="center"/>
          </w:tcPr>
          <w:p w14:paraId="3D77559C">
            <w:pPr>
              <w:spacing w:after="0" w:line="240" w:lineRule="atLeast"/>
              <w:jc w:val="center"/>
              <w:rPr>
                <w:sz w:val="24"/>
                <w:szCs w:val="24"/>
              </w:rPr>
            </w:pPr>
            <w:r>
              <w:rPr>
                <w:rFonts w:hint="eastAsia"/>
                <w:sz w:val="24"/>
              </w:rPr>
              <w:t>万套</w:t>
            </w:r>
            <w:r>
              <w:rPr>
                <w:rFonts w:hint="eastAsia" w:cs="Times New Roman"/>
                <w:sz w:val="24"/>
              </w:rPr>
              <w:t>/间</w:t>
            </w:r>
          </w:p>
        </w:tc>
        <w:tc>
          <w:tcPr>
            <w:tcW w:w="915" w:type="dxa"/>
            <w:tcBorders>
              <w:top w:val="single" w:color="000000" w:sz="4" w:space="0"/>
              <w:left w:val="single" w:color="000000" w:sz="4" w:space="0"/>
              <w:bottom w:val="single" w:color="000000" w:sz="4" w:space="0"/>
              <w:right w:val="single" w:color="000000" w:sz="4" w:space="0"/>
            </w:tcBorders>
            <w:vAlign w:val="center"/>
          </w:tcPr>
          <w:p w14:paraId="6711CEC6">
            <w:pPr>
              <w:spacing w:after="0" w:line="240" w:lineRule="atLeast"/>
              <w:jc w:val="center"/>
              <w:rPr>
                <w:sz w:val="24"/>
                <w:szCs w:val="24"/>
              </w:rPr>
            </w:pPr>
            <w:r>
              <w:rPr>
                <w:sz w:val="24"/>
              </w:rPr>
              <w:t>[</w:t>
            </w:r>
            <w:r>
              <w:rPr>
                <w:rFonts w:hint="eastAsia"/>
                <w:sz w:val="24"/>
              </w:rPr>
              <w:t>14</w:t>
            </w:r>
            <w:r>
              <w:rPr>
                <w:sz w:val="24"/>
              </w:rPr>
              <w:t>]</w:t>
            </w:r>
          </w:p>
        </w:tc>
        <w:tc>
          <w:tcPr>
            <w:tcW w:w="929" w:type="dxa"/>
            <w:tcBorders>
              <w:top w:val="single" w:color="000000" w:sz="4" w:space="0"/>
              <w:left w:val="single" w:color="000000" w:sz="4" w:space="0"/>
              <w:bottom w:val="single" w:color="000000" w:sz="4" w:space="0"/>
              <w:right w:val="single" w:color="000000" w:sz="4" w:space="0"/>
            </w:tcBorders>
            <w:vAlign w:val="center"/>
          </w:tcPr>
          <w:p w14:paraId="047648AC">
            <w:pPr>
              <w:spacing w:after="0" w:line="240" w:lineRule="atLeast"/>
              <w:jc w:val="center"/>
              <w:rPr>
                <w:sz w:val="24"/>
                <w:szCs w:val="24"/>
              </w:rPr>
            </w:pPr>
            <w:r>
              <w:rPr>
                <w:rFonts w:hint="eastAsia"/>
                <w:sz w:val="24"/>
              </w:rPr>
              <w:t>[6.95]</w:t>
            </w:r>
          </w:p>
        </w:tc>
        <w:tc>
          <w:tcPr>
            <w:tcW w:w="1085" w:type="dxa"/>
            <w:tcBorders>
              <w:top w:val="single" w:color="000000" w:sz="4" w:space="0"/>
              <w:left w:val="single" w:color="000000" w:sz="4" w:space="0"/>
              <w:bottom w:val="single" w:color="000000" w:sz="4" w:space="0"/>
              <w:right w:val="single" w:color="000000" w:sz="4" w:space="0"/>
            </w:tcBorders>
            <w:vAlign w:val="center"/>
          </w:tcPr>
          <w:p w14:paraId="0AE86F64">
            <w:pPr>
              <w:spacing w:after="0" w:line="240" w:lineRule="atLeast"/>
              <w:jc w:val="center"/>
              <w:rPr>
                <w:sz w:val="24"/>
                <w:szCs w:val="24"/>
              </w:rPr>
            </w:pPr>
            <w:r>
              <w:rPr>
                <w:rFonts w:hint="eastAsia"/>
                <w:sz w:val="24"/>
                <w:szCs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008F50F2">
            <w:pPr>
              <w:spacing w:after="0" w:line="240" w:lineRule="atLeast"/>
              <w:jc w:val="center"/>
              <w:rPr>
                <w:sz w:val="24"/>
                <w:szCs w:val="24"/>
              </w:rPr>
            </w:pPr>
            <w:r>
              <w:rPr>
                <w:rFonts w:hint="eastAsia"/>
                <w:sz w:val="24"/>
                <w:lang w:val="en-US" w:eastAsia="zh-CN"/>
              </w:rPr>
              <w:t>49</w:t>
            </w:r>
            <w:r>
              <w:rPr>
                <w:rFonts w:hint="eastAsia"/>
                <w:sz w:val="24"/>
              </w:rPr>
              <w:t>.</w:t>
            </w:r>
            <w:r>
              <w:rPr>
                <w:rFonts w:hint="eastAsia"/>
                <w:sz w:val="24"/>
                <w:lang w:val="en-US" w:eastAsia="zh-CN"/>
              </w:rPr>
              <w:t>64</w:t>
            </w:r>
            <w:r>
              <w:rPr>
                <w:rFonts w:hint="eastAsia"/>
                <w:sz w:val="24"/>
              </w:rPr>
              <w:t>%</w:t>
            </w:r>
          </w:p>
        </w:tc>
      </w:tr>
      <w:tr w14:paraId="30849B69">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5C10EA4">
            <w:pPr>
              <w:widowControl/>
              <w:spacing w:after="0" w:line="240" w:lineRule="atLeast"/>
              <w:jc w:val="center"/>
              <w:textAlignment w:val="center"/>
              <w:rPr>
                <w:sz w:val="24"/>
                <w:szCs w:val="24"/>
              </w:rPr>
            </w:pPr>
            <w:r>
              <w:rPr>
                <w:kern w:val="0"/>
                <w:sz w:val="24"/>
                <w:szCs w:val="24"/>
              </w:rPr>
              <w:t>6</w:t>
            </w:r>
          </w:p>
        </w:tc>
        <w:tc>
          <w:tcPr>
            <w:tcW w:w="3160" w:type="dxa"/>
            <w:tcBorders>
              <w:top w:val="single" w:color="000000" w:sz="4" w:space="0"/>
              <w:left w:val="single" w:color="000000" w:sz="4" w:space="0"/>
              <w:bottom w:val="single" w:color="000000" w:sz="4" w:space="0"/>
              <w:right w:val="single" w:color="000000" w:sz="4" w:space="0"/>
            </w:tcBorders>
            <w:vAlign w:val="center"/>
          </w:tcPr>
          <w:p w14:paraId="489D21A1">
            <w:pPr>
              <w:spacing w:after="0" w:line="240" w:lineRule="atLeast"/>
              <w:jc w:val="center"/>
              <w:rPr>
                <w:sz w:val="24"/>
              </w:rPr>
            </w:pPr>
            <w:r>
              <w:rPr>
                <w:rFonts w:hint="eastAsia"/>
                <w:sz w:val="24"/>
              </w:rPr>
              <w:t>商品住房和保障性住房</w:t>
            </w:r>
          </w:p>
          <w:p w14:paraId="26917947">
            <w:pPr>
              <w:spacing w:after="0" w:line="240" w:lineRule="atLeast"/>
              <w:jc w:val="center"/>
              <w:rPr>
                <w:sz w:val="24"/>
                <w:szCs w:val="24"/>
              </w:rPr>
            </w:pPr>
            <w:r>
              <w:rPr>
                <w:rFonts w:hint="eastAsia"/>
                <w:sz w:val="24"/>
              </w:rPr>
              <w:t>供应规模占比</w:t>
            </w:r>
          </w:p>
        </w:tc>
        <w:tc>
          <w:tcPr>
            <w:tcW w:w="1073" w:type="dxa"/>
            <w:tcBorders>
              <w:top w:val="single" w:color="000000" w:sz="4" w:space="0"/>
              <w:left w:val="single" w:color="000000" w:sz="4" w:space="0"/>
              <w:bottom w:val="single" w:color="000000" w:sz="4" w:space="0"/>
              <w:right w:val="single" w:color="000000" w:sz="4" w:space="0"/>
            </w:tcBorders>
            <w:vAlign w:val="center"/>
          </w:tcPr>
          <w:p w14:paraId="78AB1D89">
            <w:pPr>
              <w:spacing w:after="0" w:line="240" w:lineRule="atLeast"/>
              <w:jc w:val="center"/>
              <w:rPr>
                <w:sz w:val="24"/>
                <w:szCs w:val="24"/>
              </w:rPr>
            </w:pPr>
            <w:r>
              <w:rPr>
                <w:rFonts w:hint="eastAsia"/>
                <w:sz w:val="24"/>
              </w:rPr>
              <w:t>——</w:t>
            </w:r>
          </w:p>
        </w:tc>
        <w:tc>
          <w:tcPr>
            <w:tcW w:w="915" w:type="dxa"/>
            <w:tcBorders>
              <w:top w:val="single" w:color="000000" w:sz="4" w:space="0"/>
              <w:left w:val="single" w:color="000000" w:sz="4" w:space="0"/>
              <w:bottom w:val="single" w:color="000000" w:sz="4" w:space="0"/>
              <w:right w:val="single" w:color="000000" w:sz="4" w:space="0"/>
            </w:tcBorders>
            <w:vAlign w:val="center"/>
          </w:tcPr>
          <w:p w14:paraId="208C0D42">
            <w:pPr>
              <w:spacing w:after="0" w:line="240" w:lineRule="atLeast"/>
              <w:jc w:val="center"/>
              <w:rPr>
                <w:sz w:val="24"/>
                <w:szCs w:val="24"/>
              </w:rPr>
            </w:pPr>
            <w:r>
              <w:rPr>
                <w:sz w:val="24"/>
              </w:rPr>
              <w:t>70</w:t>
            </w:r>
            <w:r>
              <w:rPr>
                <w:rFonts w:hint="eastAsia"/>
                <w:sz w:val="24"/>
              </w:rPr>
              <w:t>:</w:t>
            </w:r>
            <w:r>
              <w:rPr>
                <w:sz w:val="24"/>
              </w:rPr>
              <w:t>30</w:t>
            </w:r>
          </w:p>
        </w:tc>
        <w:tc>
          <w:tcPr>
            <w:tcW w:w="929" w:type="dxa"/>
            <w:tcBorders>
              <w:top w:val="single" w:color="000000" w:sz="4" w:space="0"/>
              <w:left w:val="single" w:color="000000" w:sz="4" w:space="0"/>
              <w:bottom w:val="single" w:color="000000" w:sz="4" w:space="0"/>
              <w:right w:val="single" w:color="000000" w:sz="4" w:space="0"/>
            </w:tcBorders>
            <w:vAlign w:val="center"/>
          </w:tcPr>
          <w:p w14:paraId="6C9F134D">
            <w:pPr>
              <w:spacing w:after="0" w:line="240" w:lineRule="atLeast"/>
              <w:jc w:val="center"/>
              <w:rPr>
                <w:sz w:val="24"/>
                <w:szCs w:val="24"/>
              </w:rPr>
            </w:pPr>
            <w:r>
              <w:rPr>
                <w:rFonts w:hint="eastAsia"/>
                <w:sz w:val="24"/>
              </w:rPr>
              <w:t>64:36</w:t>
            </w:r>
          </w:p>
        </w:tc>
        <w:tc>
          <w:tcPr>
            <w:tcW w:w="1085" w:type="dxa"/>
            <w:tcBorders>
              <w:top w:val="single" w:color="000000" w:sz="4" w:space="0"/>
              <w:left w:val="single" w:color="000000" w:sz="4" w:space="0"/>
              <w:bottom w:val="single" w:color="000000" w:sz="4" w:space="0"/>
              <w:right w:val="single" w:color="000000" w:sz="4" w:space="0"/>
            </w:tcBorders>
            <w:vAlign w:val="center"/>
          </w:tcPr>
          <w:p w14:paraId="4B92297C">
            <w:pPr>
              <w:spacing w:after="0" w:line="240" w:lineRule="atLeast"/>
              <w:jc w:val="center"/>
              <w:rPr>
                <w:sz w:val="24"/>
                <w:szCs w:val="24"/>
              </w:rPr>
            </w:pPr>
            <w:r>
              <w:rPr>
                <w:rFonts w:hint="eastAsia"/>
                <w:sz w:val="24"/>
                <w:szCs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505FBF25">
            <w:pPr>
              <w:spacing w:after="0" w:line="240" w:lineRule="atLeast"/>
              <w:jc w:val="center"/>
              <w:rPr>
                <w:sz w:val="24"/>
                <w:szCs w:val="24"/>
              </w:rPr>
            </w:pPr>
            <w:r>
              <w:rPr>
                <w:rFonts w:hint="eastAsia"/>
                <w:sz w:val="24"/>
              </w:rPr>
              <w:t>符合预期</w:t>
            </w:r>
          </w:p>
        </w:tc>
      </w:tr>
      <w:tr w14:paraId="14011120">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EEC979A">
            <w:pPr>
              <w:widowControl/>
              <w:spacing w:after="0" w:line="240" w:lineRule="atLeast"/>
              <w:jc w:val="center"/>
              <w:textAlignment w:val="center"/>
              <w:rPr>
                <w:sz w:val="24"/>
                <w:szCs w:val="24"/>
              </w:rPr>
            </w:pPr>
            <w:r>
              <w:rPr>
                <w:kern w:val="0"/>
                <w:sz w:val="24"/>
                <w:szCs w:val="24"/>
              </w:rPr>
              <w:t>7</w:t>
            </w:r>
          </w:p>
        </w:tc>
        <w:tc>
          <w:tcPr>
            <w:tcW w:w="3160" w:type="dxa"/>
            <w:tcBorders>
              <w:top w:val="single" w:color="000000" w:sz="4" w:space="0"/>
              <w:left w:val="single" w:color="000000" w:sz="4" w:space="0"/>
              <w:bottom w:val="single" w:color="000000" w:sz="4" w:space="0"/>
              <w:right w:val="single" w:color="000000" w:sz="4" w:space="0"/>
            </w:tcBorders>
            <w:vAlign w:val="center"/>
          </w:tcPr>
          <w:p w14:paraId="1A378660">
            <w:pPr>
              <w:spacing w:after="0" w:line="240" w:lineRule="atLeast"/>
              <w:jc w:val="center"/>
              <w:rPr>
                <w:sz w:val="24"/>
                <w:szCs w:val="24"/>
              </w:rPr>
            </w:pPr>
            <w:r>
              <w:rPr>
                <w:rFonts w:hint="eastAsia"/>
                <w:sz w:val="24"/>
              </w:rPr>
              <w:t>商品住房去库存周期</w:t>
            </w:r>
          </w:p>
        </w:tc>
        <w:tc>
          <w:tcPr>
            <w:tcW w:w="1073" w:type="dxa"/>
            <w:tcBorders>
              <w:top w:val="single" w:color="000000" w:sz="4" w:space="0"/>
              <w:left w:val="single" w:color="000000" w:sz="4" w:space="0"/>
              <w:bottom w:val="single" w:color="000000" w:sz="4" w:space="0"/>
              <w:right w:val="single" w:color="000000" w:sz="4" w:space="0"/>
            </w:tcBorders>
            <w:vAlign w:val="center"/>
          </w:tcPr>
          <w:p w14:paraId="4F1C07A3">
            <w:pPr>
              <w:spacing w:after="0" w:line="240" w:lineRule="atLeast"/>
              <w:jc w:val="center"/>
              <w:rPr>
                <w:sz w:val="24"/>
                <w:szCs w:val="24"/>
              </w:rPr>
            </w:pPr>
            <w:r>
              <w:rPr>
                <w:sz w:val="24"/>
              </w:rPr>
              <w:t>月</w:t>
            </w:r>
          </w:p>
        </w:tc>
        <w:tc>
          <w:tcPr>
            <w:tcW w:w="915" w:type="dxa"/>
            <w:tcBorders>
              <w:top w:val="single" w:color="000000" w:sz="4" w:space="0"/>
              <w:left w:val="single" w:color="000000" w:sz="4" w:space="0"/>
              <w:bottom w:val="single" w:color="000000" w:sz="4" w:space="0"/>
              <w:right w:val="single" w:color="000000" w:sz="4" w:space="0"/>
            </w:tcBorders>
            <w:vAlign w:val="center"/>
          </w:tcPr>
          <w:p w14:paraId="67CD88A1">
            <w:pPr>
              <w:spacing w:after="0" w:line="240" w:lineRule="atLeast"/>
              <w:jc w:val="center"/>
              <w:rPr>
                <w:sz w:val="24"/>
                <w:szCs w:val="24"/>
              </w:rPr>
            </w:pPr>
            <w:r>
              <w:rPr>
                <w:sz w:val="24"/>
              </w:rPr>
              <w:t>12-18</w:t>
            </w:r>
          </w:p>
        </w:tc>
        <w:tc>
          <w:tcPr>
            <w:tcW w:w="929" w:type="dxa"/>
            <w:tcBorders>
              <w:top w:val="single" w:color="000000" w:sz="4" w:space="0"/>
              <w:left w:val="single" w:color="000000" w:sz="4" w:space="0"/>
              <w:bottom w:val="single" w:color="000000" w:sz="4" w:space="0"/>
              <w:right w:val="single" w:color="000000" w:sz="4" w:space="0"/>
            </w:tcBorders>
            <w:vAlign w:val="center"/>
          </w:tcPr>
          <w:p w14:paraId="016CED3D">
            <w:pPr>
              <w:spacing w:after="0" w:line="240" w:lineRule="atLeast"/>
              <w:jc w:val="center"/>
              <w:rPr>
                <w:sz w:val="24"/>
                <w:szCs w:val="24"/>
              </w:rPr>
            </w:pPr>
            <w:r>
              <w:rPr>
                <w:rFonts w:hint="eastAsia"/>
                <w:sz w:val="24"/>
              </w:rPr>
              <w:t>24.5</w:t>
            </w:r>
          </w:p>
        </w:tc>
        <w:tc>
          <w:tcPr>
            <w:tcW w:w="1085" w:type="dxa"/>
            <w:tcBorders>
              <w:top w:val="single" w:color="000000" w:sz="4" w:space="0"/>
              <w:left w:val="single" w:color="000000" w:sz="4" w:space="0"/>
              <w:bottom w:val="single" w:color="000000" w:sz="4" w:space="0"/>
              <w:right w:val="single" w:color="000000" w:sz="4" w:space="0"/>
            </w:tcBorders>
            <w:vAlign w:val="center"/>
          </w:tcPr>
          <w:p w14:paraId="00512089">
            <w:pPr>
              <w:spacing w:after="0" w:line="240" w:lineRule="atLeast"/>
              <w:jc w:val="center"/>
              <w:rPr>
                <w:sz w:val="24"/>
                <w:szCs w:val="24"/>
              </w:rPr>
            </w:pPr>
            <w:r>
              <w:rPr>
                <w:rFonts w:hint="eastAsia"/>
                <w:sz w:val="24"/>
              </w:rPr>
              <w:t>预期性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0DCE09AE">
            <w:pPr>
              <w:spacing w:after="0" w:line="240" w:lineRule="atLeast"/>
              <w:jc w:val="center"/>
              <w:rPr>
                <w:sz w:val="24"/>
                <w:szCs w:val="24"/>
              </w:rPr>
            </w:pPr>
            <w:r>
              <w:rPr>
                <w:rFonts w:hint="eastAsia"/>
                <w:sz w:val="24"/>
                <w:szCs w:val="24"/>
              </w:rPr>
              <w:t>不达预期</w:t>
            </w:r>
          </w:p>
        </w:tc>
      </w:tr>
      <w:tr w14:paraId="3206EB6E">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7711EF1">
            <w:pPr>
              <w:widowControl/>
              <w:spacing w:after="0" w:line="240" w:lineRule="atLeast"/>
              <w:jc w:val="center"/>
              <w:textAlignment w:val="center"/>
              <w:rPr>
                <w:kern w:val="0"/>
                <w:sz w:val="24"/>
                <w:szCs w:val="24"/>
              </w:rPr>
            </w:pPr>
            <w:r>
              <w:rPr>
                <w:kern w:val="0"/>
                <w:sz w:val="24"/>
                <w:szCs w:val="24"/>
              </w:rPr>
              <w:t>8</w:t>
            </w:r>
          </w:p>
        </w:tc>
        <w:tc>
          <w:tcPr>
            <w:tcW w:w="3160" w:type="dxa"/>
            <w:tcBorders>
              <w:top w:val="single" w:color="000000" w:sz="4" w:space="0"/>
              <w:left w:val="single" w:color="000000" w:sz="4" w:space="0"/>
              <w:bottom w:val="single" w:color="000000" w:sz="4" w:space="0"/>
              <w:right w:val="single" w:color="000000" w:sz="4" w:space="0"/>
            </w:tcBorders>
            <w:vAlign w:val="center"/>
          </w:tcPr>
          <w:p w14:paraId="7B0B4DB9">
            <w:pPr>
              <w:spacing w:after="0" w:line="240" w:lineRule="atLeast"/>
              <w:jc w:val="center"/>
              <w:rPr>
                <w:sz w:val="24"/>
              </w:rPr>
            </w:pPr>
            <w:r>
              <w:rPr>
                <w:kern w:val="0"/>
                <w:sz w:val="24"/>
                <w:szCs w:val="24"/>
              </w:rPr>
              <w:t>招拍挂出让的住宅用地配建保障性住房比例</w:t>
            </w:r>
          </w:p>
        </w:tc>
        <w:tc>
          <w:tcPr>
            <w:tcW w:w="1073" w:type="dxa"/>
            <w:tcBorders>
              <w:top w:val="single" w:color="000000" w:sz="4" w:space="0"/>
              <w:left w:val="single" w:color="000000" w:sz="4" w:space="0"/>
              <w:bottom w:val="single" w:color="000000" w:sz="4" w:space="0"/>
              <w:right w:val="single" w:color="000000" w:sz="4" w:space="0"/>
            </w:tcBorders>
            <w:vAlign w:val="center"/>
          </w:tcPr>
          <w:p w14:paraId="55CA31CB">
            <w:pPr>
              <w:spacing w:after="0" w:line="240" w:lineRule="atLeast"/>
              <w:jc w:val="center"/>
              <w:rPr>
                <w:sz w:val="24"/>
              </w:rPr>
            </w:pPr>
            <w:r>
              <w:rPr>
                <w:kern w:val="0"/>
                <w:sz w:val="24"/>
                <w:szCs w:val="24"/>
              </w:rPr>
              <w:t>%</w:t>
            </w:r>
          </w:p>
        </w:tc>
        <w:tc>
          <w:tcPr>
            <w:tcW w:w="915" w:type="dxa"/>
            <w:tcBorders>
              <w:top w:val="single" w:color="000000" w:sz="4" w:space="0"/>
              <w:left w:val="single" w:color="000000" w:sz="4" w:space="0"/>
              <w:bottom w:val="single" w:color="000000" w:sz="4" w:space="0"/>
              <w:right w:val="single" w:color="000000" w:sz="4" w:space="0"/>
            </w:tcBorders>
            <w:vAlign w:val="center"/>
          </w:tcPr>
          <w:p w14:paraId="39CEEBF7">
            <w:pPr>
              <w:spacing w:after="0" w:line="240" w:lineRule="atLeast"/>
              <w:jc w:val="center"/>
              <w:rPr>
                <w:sz w:val="24"/>
              </w:rPr>
            </w:pPr>
            <w:r>
              <w:rPr>
                <w:kern w:val="0"/>
                <w:sz w:val="24"/>
                <w:szCs w:val="24"/>
              </w:rPr>
              <w:t>10</w:t>
            </w:r>
          </w:p>
        </w:tc>
        <w:tc>
          <w:tcPr>
            <w:tcW w:w="929" w:type="dxa"/>
            <w:tcBorders>
              <w:top w:val="single" w:color="000000" w:sz="4" w:space="0"/>
              <w:left w:val="single" w:color="000000" w:sz="4" w:space="0"/>
              <w:bottom w:val="single" w:color="000000" w:sz="4" w:space="0"/>
              <w:right w:val="single" w:color="000000" w:sz="4" w:space="0"/>
            </w:tcBorders>
            <w:vAlign w:val="center"/>
          </w:tcPr>
          <w:p w14:paraId="0EB0B130">
            <w:pPr>
              <w:spacing w:after="0" w:line="240" w:lineRule="atLeast"/>
              <w:jc w:val="center"/>
              <w:rPr>
                <w:sz w:val="24"/>
              </w:rPr>
            </w:pPr>
            <w:r>
              <w:rPr>
                <w:rFonts w:hint="eastAsia"/>
                <w:sz w:val="24"/>
              </w:rPr>
              <w:t>11.2</w:t>
            </w:r>
          </w:p>
        </w:tc>
        <w:tc>
          <w:tcPr>
            <w:tcW w:w="1085" w:type="dxa"/>
            <w:tcBorders>
              <w:top w:val="single" w:color="000000" w:sz="4" w:space="0"/>
              <w:left w:val="single" w:color="000000" w:sz="4" w:space="0"/>
              <w:bottom w:val="single" w:color="000000" w:sz="4" w:space="0"/>
              <w:right w:val="single" w:color="000000" w:sz="4" w:space="0"/>
            </w:tcBorders>
            <w:vAlign w:val="center"/>
          </w:tcPr>
          <w:p w14:paraId="5ED6C6F5">
            <w:pPr>
              <w:spacing w:after="0" w:line="240" w:lineRule="atLeast"/>
              <w:jc w:val="center"/>
              <w:rPr>
                <w:sz w:val="24"/>
              </w:rPr>
            </w:pPr>
            <w:r>
              <w:rPr>
                <w:kern w:val="0"/>
                <w:sz w:val="24"/>
                <w:szCs w:val="24"/>
              </w:rPr>
              <w:t>约束性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1798B844">
            <w:pPr>
              <w:spacing w:after="0" w:line="240" w:lineRule="atLeast"/>
              <w:jc w:val="center"/>
              <w:rPr>
                <w:sz w:val="24"/>
                <w:szCs w:val="24"/>
              </w:rPr>
            </w:pPr>
            <w:r>
              <w:rPr>
                <w:rFonts w:hint="eastAsia"/>
                <w:sz w:val="24"/>
              </w:rPr>
              <w:t>112%</w:t>
            </w:r>
          </w:p>
        </w:tc>
      </w:tr>
      <w:tr w14:paraId="590FF365">
        <w:tblPrEx>
          <w:tblCellMar>
            <w:top w:w="0" w:type="dxa"/>
            <w:left w:w="108" w:type="dxa"/>
            <w:bottom w:w="0" w:type="dxa"/>
            <w:right w:w="108" w:type="dxa"/>
          </w:tblCellMar>
        </w:tblPrEx>
        <w:trPr>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13963C2C">
            <w:pPr>
              <w:widowControl/>
              <w:spacing w:after="0" w:line="240" w:lineRule="atLeast"/>
              <w:jc w:val="center"/>
              <w:textAlignment w:val="center"/>
              <w:rPr>
                <w:kern w:val="0"/>
                <w:sz w:val="24"/>
                <w:szCs w:val="24"/>
              </w:rPr>
            </w:pPr>
            <w:r>
              <w:rPr>
                <w:kern w:val="0"/>
                <w:sz w:val="24"/>
                <w:szCs w:val="24"/>
              </w:rPr>
              <w:t>9</w:t>
            </w:r>
          </w:p>
        </w:tc>
        <w:tc>
          <w:tcPr>
            <w:tcW w:w="3160" w:type="dxa"/>
            <w:tcBorders>
              <w:top w:val="single" w:color="000000" w:sz="4" w:space="0"/>
              <w:left w:val="single" w:color="000000" w:sz="4" w:space="0"/>
              <w:bottom w:val="single" w:color="000000" w:sz="4" w:space="0"/>
              <w:right w:val="single" w:color="000000" w:sz="4" w:space="0"/>
            </w:tcBorders>
            <w:vAlign w:val="center"/>
          </w:tcPr>
          <w:p w14:paraId="44D28C2F">
            <w:pPr>
              <w:spacing w:after="0" w:line="240" w:lineRule="atLeast"/>
              <w:jc w:val="center"/>
              <w:rPr>
                <w:sz w:val="24"/>
              </w:rPr>
            </w:pPr>
            <w:r>
              <w:rPr>
                <w:kern w:val="0"/>
                <w:sz w:val="24"/>
                <w:szCs w:val="24"/>
              </w:rPr>
              <w:t>改造方向为住宅的政府主导城市更新单元（项目）配建保障性住房比例</w:t>
            </w:r>
          </w:p>
        </w:tc>
        <w:tc>
          <w:tcPr>
            <w:tcW w:w="1073" w:type="dxa"/>
            <w:tcBorders>
              <w:top w:val="single" w:color="000000" w:sz="4" w:space="0"/>
              <w:left w:val="single" w:color="000000" w:sz="4" w:space="0"/>
              <w:bottom w:val="single" w:color="000000" w:sz="4" w:space="0"/>
              <w:right w:val="single" w:color="000000" w:sz="4" w:space="0"/>
            </w:tcBorders>
            <w:vAlign w:val="center"/>
          </w:tcPr>
          <w:p w14:paraId="33B5BA55">
            <w:pPr>
              <w:spacing w:after="0" w:line="240" w:lineRule="atLeast"/>
              <w:jc w:val="center"/>
              <w:rPr>
                <w:sz w:val="24"/>
              </w:rPr>
            </w:pPr>
            <w:r>
              <w:rPr>
                <w:kern w:val="0"/>
                <w:sz w:val="24"/>
                <w:szCs w:val="24"/>
              </w:rPr>
              <w:t>%</w:t>
            </w:r>
          </w:p>
        </w:tc>
        <w:tc>
          <w:tcPr>
            <w:tcW w:w="915" w:type="dxa"/>
            <w:tcBorders>
              <w:top w:val="single" w:color="000000" w:sz="4" w:space="0"/>
              <w:left w:val="single" w:color="000000" w:sz="4" w:space="0"/>
              <w:bottom w:val="single" w:color="000000" w:sz="4" w:space="0"/>
              <w:right w:val="single" w:color="000000" w:sz="4" w:space="0"/>
            </w:tcBorders>
            <w:vAlign w:val="center"/>
          </w:tcPr>
          <w:p w14:paraId="5E159343">
            <w:pPr>
              <w:spacing w:after="0" w:line="240" w:lineRule="atLeast"/>
              <w:jc w:val="center"/>
              <w:rPr>
                <w:sz w:val="24"/>
              </w:rPr>
            </w:pPr>
            <w:r>
              <w:rPr>
                <w:kern w:val="0"/>
                <w:sz w:val="24"/>
                <w:szCs w:val="24"/>
              </w:rPr>
              <w:t>10</w:t>
            </w:r>
          </w:p>
        </w:tc>
        <w:tc>
          <w:tcPr>
            <w:tcW w:w="929" w:type="dxa"/>
            <w:tcBorders>
              <w:top w:val="single" w:color="000000" w:sz="4" w:space="0"/>
              <w:left w:val="single" w:color="000000" w:sz="4" w:space="0"/>
              <w:bottom w:val="single" w:color="000000" w:sz="4" w:space="0"/>
              <w:right w:val="single" w:color="000000" w:sz="4" w:space="0"/>
            </w:tcBorders>
            <w:vAlign w:val="center"/>
          </w:tcPr>
          <w:p w14:paraId="52666EB3">
            <w:pPr>
              <w:spacing w:after="0" w:line="240" w:lineRule="atLeast"/>
              <w:jc w:val="center"/>
              <w:rPr>
                <w:sz w:val="24"/>
              </w:rPr>
            </w:pPr>
            <w:r>
              <w:rPr>
                <w:rFonts w:hint="eastAsia"/>
                <w:sz w:val="24"/>
              </w:rPr>
              <w:t>4.7</w:t>
            </w:r>
          </w:p>
        </w:tc>
        <w:tc>
          <w:tcPr>
            <w:tcW w:w="1085" w:type="dxa"/>
            <w:tcBorders>
              <w:top w:val="single" w:color="000000" w:sz="4" w:space="0"/>
              <w:left w:val="single" w:color="000000" w:sz="4" w:space="0"/>
              <w:bottom w:val="single" w:color="000000" w:sz="4" w:space="0"/>
              <w:right w:val="single" w:color="000000" w:sz="4" w:space="0"/>
            </w:tcBorders>
            <w:vAlign w:val="center"/>
          </w:tcPr>
          <w:p w14:paraId="0CFC01EE">
            <w:pPr>
              <w:spacing w:after="0" w:line="240" w:lineRule="atLeast"/>
              <w:jc w:val="center"/>
              <w:rPr>
                <w:sz w:val="24"/>
              </w:rPr>
            </w:pPr>
            <w:r>
              <w:rPr>
                <w:kern w:val="0"/>
                <w:sz w:val="24"/>
                <w:szCs w:val="24"/>
              </w:rPr>
              <w:t>约束性</w:t>
            </w:r>
          </w:p>
        </w:tc>
        <w:tc>
          <w:tcPr>
            <w:tcW w:w="1430" w:type="dxa"/>
            <w:gridSpan w:val="2"/>
            <w:tcBorders>
              <w:top w:val="single" w:color="000000" w:sz="4" w:space="0"/>
              <w:left w:val="single" w:color="000000" w:sz="4" w:space="0"/>
              <w:bottom w:val="single" w:color="000000" w:sz="4" w:space="0"/>
              <w:right w:val="single" w:color="000000" w:sz="4" w:space="0"/>
            </w:tcBorders>
            <w:vAlign w:val="center"/>
          </w:tcPr>
          <w:p w14:paraId="64D3C408">
            <w:pPr>
              <w:spacing w:after="0" w:line="240" w:lineRule="atLeast"/>
              <w:jc w:val="center"/>
              <w:rPr>
                <w:sz w:val="24"/>
                <w:szCs w:val="24"/>
              </w:rPr>
            </w:pPr>
            <w:r>
              <w:rPr>
                <w:rFonts w:hint="eastAsia"/>
                <w:sz w:val="24"/>
                <w:szCs w:val="24"/>
              </w:rPr>
              <w:t>94%</w:t>
            </w:r>
            <w:r>
              <w:rPr>
                <w:rStyle w:val="35"/>
                <w:sz w:val="24"/>
                <w:szCs w:val="24"/>
              </w:rPr>
              <w:footnoteReference w:id="0"/>
            </w:r>
          </w:p>
        </w:tc>
      </w:tr>
      <w:tr w14:paraId="5DB75827">
        <w:tblPrEx>
          <w:tblCellMar>
            <w:top w:w="0" w:type="dxa"/>
            <w:left w:w="108" w:type="dxa"/>
            <w:bottom w:w="0" w:type="dxa"/>
            <w:right w:w="108" w:type="dxa"/>
          </w:tblCellMar>
        </w:tblPrEx>
        <w:trPr>
          <w:gridAfter w:val="1"/>
          <w:wAfter w:w="7" w:type="dxa"/>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6A41E074">
            <w:pPr>
              <w:widowControl/>
              <w:spacing w:after="0" w:line="240" w:lineRule="atLeast"/>
              <w:jc w:val="center"/>
              <w:textAlignment w:val="center"/>
              <w:rPr>
                <w:sz w:val="24"/>
                <w:szCs w:val="24"/>
              </w:rPr>
            </w:pPr>
            <w:r>
              <w:rPr>
                <w:kern w:val="0"/>
                <w:sz w:val="24"/>
                <w:szCs w:val="24"/>
              </w:rPr>
              <w:t>10</w:t>
            </w:r>
          </w:p>
        </w:tc>
        <w:tc>
          <w:tcPr>
            <w:tcW w:w="3160" w:type="dxa"/>
            <w:tcBorders>
              <w:top w:val="single" w:color="000000" w:sz="4" w:space="0"/>
              <w:left w:val="single" w:color="000000" w:sz="4" w:space="0"/>
              <w:bottom w:val="single" w:color="000000" w:sz="4" w:space="0"/>
              <w:right w:val="single" w:color="000000" w:sz="4" w:space="0"/>
            </w:tcBorders>
            <w:vAlign w:val="center"/>
          </w:tcPr>
          <w:p w14:paraId="4F6CCCA9">
            <w:pPr>
              <w:widowControl/>
              <w:spacing w:after="0" w:line="240" w:lineRule="atLeast"/>
              <w:jc w:val="center"/>
              <w:textAlignment w:val="center"/>
              <w:rPr>
                <w:sz w:val="24"/>
                <w:szCs w:val="24"/>
              </w:rPr>
            </w:pPr>
            <w:r>
              <w:rPr>
                <w:kern w:val="0"/>
                <w:sz w:val="24"/>
                <w:szCs w:val="24"/>
              </w:rPr>
              <w:t>住房公积金个贷率</w:t>
            </w:r>
          </w:p>
        </w:tc>
        <w:tc>
          <w:tcPr>
            <w:tcW w:w="1073" w:type="dxa"/>
            <w:tcBorders>
              <w:top w:val="single" w:color="000000" w:sz="4" w:space="0"/>
              <w:left w:val="single" w:color="000000" w:sz="4" w:space="0"/>
              <w:bottom w:val="single" w:color="000000" w:sz="4" w:space="0"/>
              <w:right w:val="single" w:color="000000" w:sz="4" w:space="0"/>
            </w:tcBorders>
            <w:vAlign w:val="center"/>
          </w:tcPr>
          <w:p w14:paraId="4628325E">
            <w:pPr>
              <w:widowControl/>
              <w:spacing w:after="0" w:line="240" w:lineRule="atLeast"/>
              <w:jc w:val="center"/>
              <w:textAlignment w:val="center"/>
              <w:rPr>
                <w:sz w:val="24"/>
                <w:szCs w:val="24"/>
              </w:rPr>
            </w:pPr>
            <w:r>
              <w:rPr>
                <w:kern w:val="0"/>
                <w:sz w:val="24"/>
                <w:szCs w:val="24"/>
              </w:rPr>
              <w:t>%</w:t>
            </w:r>
          </w:p>
        </w:tc>
        <w:tc>
          <w:tcPr>
            <w:tcW w:w="915" w:type="dxa"/>
            <w:tcBorders>
              <w:top w:val="single" w:color="000000" w:sz="4" w:space="0"/>
              <w:left w:val="single" w:color="000000" w:sz="4" w:space="0"/>
              <w:bottom w:val="single" w:color="000000" w:sz="4" w:space="0"/>
              <w:right w:val="single" w:color="000000" w:sz="4" w:space="0"/>
            </w:tcBorders>
            <w:vAlign w:val="center"/>
          </w:tcPr>
          <w:p w14:paraId="5FDDD978">
            <w:pPr>
              <w:widowControl/>
              <w:spacing w:after="0" w:line="240" w:lineRule="atLeast"/>
              <w:jc w:val="center"/>
              <w:textAlignment w:val="center"/>
              <w:rPr>
                <w:sz w:val="24"/>
                <w:szCs w:val="24"/>
              </w:rPr>
            </w:pPr>
            <w:r>
              <w:rPr>
                <w:kern w:val="0"/>
                <w:sz w:val="24"/>
                <w:szCs w:val="24"/>
              </w:rPr>
              <w:t>85</w:t>
            </w:r>
          </w:p>
        </w:tc>
        <w:tc>
          <w:tcPr>
            <w:tcW w:w="929" w:type="dxa"/>
            <w:tcBorders>
              <w:top w:val="single" w:color="000000" w:sz="4" w:space="0"/>
              <w:left w:val="single" w:color="000000" w:sz="4" w:space="0"/>
              <w:bottom w:val="single" w:color="000000" w:sz="4" w:space="0"/>
              <w:right w:val="single" w:color="000000" w:sz="4" w:space="0"/>
            </w:tcBorders>
            <w:vAlign w:val="center"/>
          </w:tcPr>
          <w:p w14:paraId="4189BE39">
            <w:pPr>
              <w:widowControl/>
              <w:spacing w:after="0" w:line="240" w:lineRule="atLeast"/>
              <w:jc w:val="center"/>
              <w:textAlignment w:val="center"/>
              <w:rPr>
                <w:sz w:val="24"/>
                <w:szCs w:val="24"/>
              </w:rPr>
            </w:pPr>
            <w:r>
              <w:rPr>
                <w:rFonts w:hint="eastAsia"/>
                <w:sz w:val="24"/>
              </w:rPr>
              <w:t>67</w:t>
            </w:r>
          </w:p>
        </w:tc>
        <w:tc>
          <w:tcPr>
            <w:tcW w:w="1085" w:type="dxa"/>
            <w:tcBorders>
              <w:top w:val="single" w:color="000000" w:sz="4" w:space="0"/>
              <w:left w:val="single" w:color="000000" w:sz="4" w:space="0"/>
              <w:bottom w:val="single" w:color="000000" w:sz="4" w:space="0"/>
              <w:right w:val="single" w:color="000000" w:sz="4" w:space="0"/>
            </w:tcBorders>
            <w:vAlign w:val="center"/>
          </w:tcPr>
          <w:p w14:paraId="57666E42">
            <w:pPr>
              <w:widowControl/>
              <w:spacing w:after="0" w:line="240" w:lineRule="atLeast"/>
              <w:jc w:val="center"/>
              <w:textAlignment w:val="center"/>
              <w:rPr>
                <w:sz w:val="24"/>
                <w:szCs w:val="24"/>
              </w:rPr>
            </w:pPr>
            <w:r>
              <w:rPr>
                <w:kern w:val="0"/>
                <w:sz w:val="24"/>
                <w:szCs w:val="24"/>
              </w:rPr>
              <w:t>预期性</w:t>
            </w:r>
          </w:p>
        </w:tc>
        <w:tc>
          <w:tcPr>
            <w:tcW w:w="1423" w:type="dxa"/>
            <w:tcBorders>
              <w:top w:val="single" w:color="000000" w:sz="4" w:space="0"/>
              <w:left w:val="single" w:color="000000" w:sz="4" w:space="0"/>
              <w:bottom w:val="single" w:color="000000" w:sz="4" w:space="0"/>
              <w:right w:val="single" w:color="000000" w:sz="4" w:space="0"/>
            </w:tcBorders>
            <w:vAlign w:val="center"/>
          </w:tcPr>
          <w:p w14:paraId="01030864">
            <w:pPr>
              <w:widowControl/>
              <w:spacing w:after="0" w:line="240" w:lineRule="atLeast"/>
              <w:jc w:val="center"/>
              <w:textAlignment w:val="center"/>
              <w:rPr>
                <w:sz w:val="24"/>
                <w:szCs w:val="24"/>
                <w:highlight w:val="yellow"/>
              </w:rPr>
            </w:pPr>
            <w:r>
              <w:rPr>
                <w:rFonts w:hint="eastAsia"/>
                <w:sz w:val="24"/>
                <w:szCs w:val="24"/>
              </w:rPr>
              <w:t>不达预期</w:t>
            </w:r>
          </w:p>
        </w:tc>
      </w:tr>
      <w:tr w14:paraId="4609FF00">
        <w:tblPrEx>
          <w:tblCellMar>
            <w:top w:w="0" w:type="dxa"/>
            <w:left w:w="108" w:type="dxa"/>
            <w:bottom w:w="0" w:type="dxa"/>
            <w:right w:w="108" w:type="dxa"/>
          </w:tblCellMar>
        </w:tblPrEx>
        <w:trPr>
          <w:gridAfter w:val="1"/>
          <w:wAfter w:w="7" w:type="dxa"/>
          <w:trHeight w:val="559" w:hRule="atLeast"/>
        </w:trPr>
        <w:tc>
          <w:tcPr>
            <w:tcW w:w="544" w:type="dxa"/>
            <w:tcBorders>
              <w:top w:val="single" w:color="000000" w:sz="4" w:space="0"/>
              <w:left w:val="single" w:color="000000" w:sz="4" w:space="0"/>
              <w:bottom w:val="single" w:color="000000" w:sz="4" w:space="0"/>
              <w:right w:val="single" w:color="000000" w:sz="4" w:space="0"/>
            </w:tcBorders>
            <w:vAlign w:val="center"/>
          </w:tcPr>
          <w:p w14:paraId="05B2C881">
            <w:pPr>
              <w:widowControl/>
              <w:spacing w:after="0" w:line="240" w:lineRule="atLeast"/>
              <w:jc w:val="center"/>
              <w:textAlignment w:val="center"/>
              <w:rPr>
                <w:kern w:val="0"/>
                <w:sz w:val="24"/>
                <w:szCs w:val="24"/>
              </w:rPr>
            </w:pPr>
            <w:r>
              <w:rPr>
                <w:rFonts w:hint="eastAsia"/>
                <w:kern w:val="0"/>
                <w:sz w:val="24"/>
                <w:szCs w:val="24"/>
              </w:rPr>
              <w:t>11</w:t>
            </w:r>
          </w:p>
        </w:tc>
        <w:tc>
          <w:tcPr>
            <w:tcW w:w="3160" w:type="dxa"/>
            <w:tcBorders>
              <w:top w:val="single" w:color="000000" w:sz="4" w:space="0"/>
              <w:left w:val="single" w:color="000000" w:sz="4" w:space="0"/>
              <w:bottom w:val="single" w:color="000000" w:sz="4" w:space="0"/>
              <w:right w:val="single" w:color="000000" w:sz="4" w:space="0"/>
            </w:tcBorders>
            <w:vAlign w:val="center"/>
          </w:tcPr>
          <w:p w14:paraId="0CD6407C">
            <w:pPr>
              <w:widowControl/>
              <w:spacing w:after="0" w:line="240" w:lineRule="atLeast"/>
              <w:jc w:val="center"/>
              <w:textAlignment w:val="center"/>
              <w:rPr>
                <w:kern w:val="0"/>
                <w:sz w:val="24"/>
                <w:szCs w:val="24"/>
              </w:rPr>
            </w:pPr>
            <w:r>
              <w:rPr>
                <w:rFonts w:hint="eastAsia"/>
                <w:kern w:val="0"/>
                <w:sz w:val="24"/>
                <w:szCs w:val="24"/>
              </w:rPr>
              <w:t>开发建设住宅用地（含已出让未开工和新供应）</w:t>
            </w:r>
          </w:p>
        </w:tc>
        <w:tc>
          <w:tcPr>
            <w:tcW w:w="1073" w:type="dxa"/>
            <w:tcBorders>
              <w:top w:val="single" w:color="000000" w:sz="4" w:space="0"/>
              <w:left w:val="single" w:color="000000" w:sz="4" w:space="0"/>
              <w:bottom w:val="single" w:color="000000" w:sz="4" w:space="0"/>
              <w:right w:val="single" w:color="000000" w:sz="4" w:space="0"/>
            </w:tcBorders>
            <w:vAlign w:val="center"/>
          </w:tcPr>
          <w:p w14:paraId="61F6C7B6">
            <w:pPr>
              <w:widowControl/>
              <w:spacing w:after="0" w:line="240" w:lineRule="atLeast"/>
              <w:jc w:val="center"/>
              <w:textAlignment w:val="center"/>
              <w:rPr>
                <w:kern w:val="0"/>
                <w:sz w:val="24"/>
                <w:szCs w:val="24"/>
              </w:rPr>
            </w:pPr>
            <w:r>
              <w:rPr>
                <w:rFonts w:hint="eastAsia"/>
                <w:kern w:val="0"/>
                <w:sz w:val="24"/>
                <w:szCs w:val="24"/>
              </w:rPr>
              <w:t>公顷</w:t>
            </w:r>
          </w:p>
        </w:tc>
        <w:tc>
          <w:tcPr>
            <w:tcW w:w="915" w:type="dxa"/>
            <w:tcBorders>
              <w:top w:val="single" w:color="000000" w:sz="4" w:space="0"/>
              <w:left w:val="single" w:color="000000" w:sz="4" w:space="0"/>
              <w:bottom w:val="single" w:color="000000" w:sz="4" w:space="0"/>
              <w:right w:val="single" w:color="000000" w:sz="4" w:space="0"/>
            </w:tcBorders>
            <w:vAlign w:val="center"/>
          </w:tcPr>
          <w:p w14:paraId="61FB2F3C">
            <w:pPr>
              <w:widowControl/>
              <w:spacing w:after="0" w:line="240" w:lineRule="atLeast"/>
              <w:jc w:val="center"/>
              <w:textAlignment w:val="center"/>
              <w:rPr>
                <w:kern w:val="0"/>
                <w:sz w:val="24"/>
                <w:szCs w:val="24"/>
              </w:rPr>
            </w:pPr>
            <w:r>
              <w:rPr>
                <w:rFonts w:hint="eastAsia"/>
                <w:kern w:val="0"/>
                <w:sz w:val="24"/>
                <w:szCs w:val="24"/>
              </w:rPr>
              <w:t>[1461]</w:t>
            </w:r>
          </w:p>
        </w:tc>
        <w:tc>
          <w:tcPr>
            <w:tcW w:w="929" w:type="dxa"/>
            <w:tcBorders>
              <w:top w:val="single" w:color="000000" w:sz="4" w:space="0"/>
              <w:left w:val="single" w:color="000000" w:sz="4" w:space="0"/>
              <w:bottom w:val="single" w:color="000000" w:sz="4" w:space="0"/>
              <w:right w:val="single" w:color="000000" w:sz="4" w:space="0"/>
            </w:tcBorders>
            <w:vAlign w:val="center"/>
          </w:tcPr>
          <w:p w14:paraId="48747F8A">
            <w:pPr>
              <w:widowControl/>
              <w:spacing w:after="0" w:line="240" w:lineRule="atLeast"/>
              <w:jc w:val="center"/>
              <w:textAlignment w:val="center"/>
              <w:rPr>
                <w:kern w:val="0"/>
                <w:sz w:val="24"/>
                <w:szCs w:val="24"/>
                <w:highlight w:val="yellow"/>
              </w:rPr>
            </w:pPr>
            <w:r>
              <w:rPr>
                <w:rFonts w:hint="eastAsia"/>
                <w:kern w:val="0"/>
                <w:sz w:val="24"/>
                <w:szCs w:val="24"/>
              </w:rPr>
              <w:t>[</w:t>
            </w:r>
            <w:r>
              <w:rPr>
                <w:kern w:val="0"/>
                <w:sz w:val="24"/>
                <w:szCs w:val="24"/>
              </w:rPr>
              <w:t>517</w:t>
            </w:r>
            <w:r>
              <w:rPr>
                <w:rFonts w:hint="eastAsia"/>
                <w:kern w:val="0"/>
                <w:sz w:val="24"/>
                <w:szCs w:val="24"/>
              </w:rPr>
              <w:t>]</w:t>
            </w:r>
          </w:p>
        </w:tc>
        <w:tc>
          <w:tcPr>
            <w:tcW w:w="1085" w:type="dxa"/>
            <w:tcBorders>
              <w:top w:val="single" w:color="000000" w:sz="4" w:space="0"/>
              <w:left w:val="single" w:color="000000" w:sz="4" w:space="0"/>
              <w:bottom w:val="single" w:color="000000" w:sz="4" w:space="0"/>
              <w:right w:val="single" w:color="000000" w:sz="4" w:space="0"/>
            </w:tcBorders>
            <w:vAlign w:val="center"/>
          </w:tcPr>
          <w:p w14:paraId="6316FD39">
            <w:pPr>
              <w:widowControl/>
              <w:spacing w:after="0" w:line="240" w:lineRule="atLeast"/>
              <w:jc w:val="center"/>
              <w:textAlignment w:val="center"/>
              <w:rPr>
                <w:kern w:val="0"/>
                <w:sz w:val="24"/>
                <w:szCs w:val="24"/>
              </w:rPr>
            </w:pPr>
            <w:r>
              <w:rPr>
                <w:rFonts w:hint="eastAsia"/>
                <w:kern w:val="0"/>
                <w:sz w:val="24"/>
                <w:szCs w:val="24"/>
              </w:rPr>
              <w:t>预期性</w:t>
            </w:r>
          </w:p>
        </w:tc>
        <w:tc>
          <w:tcPr>
            <w:tcW w:w="1423" w:type="dxa"/>
            <w:tcBorders>
              <w:top w:val="single" w:color="000000" w:sz="4" w:space="0"/>
              <w:left w:val="single" w:color="000000" w:sz="4" w:space="0"/>
              <w:bottom w:val="single" w:color="000000" w:sz="4" w:space="0"/>
              <w:right w:val="single" w:color="000000" w:sz="4" w:space="0"/>
            </w:tcBorders>
            <w:vAlign w:val="center"/>
          </w:tcPr>
          <w:p w14:paraId="2C7CBF14">
            <w:pPr>
              <w:widowControl/>
              <w:spacing w:after="0" w:line="240" w:lineRule="atLeast"/>
              <w:jc w:val="center"/>
              <w:textAlignment w:val="center"/>
              <w:rPr>
                <w:kern w:val="0"/>
                <w:sz w:val="24"/>
                <w:szCs w:val="24"/>
              </w:rPr>
            </w:pPr>
            <w:r>
              <w:rPr>
                <w:rFonts w:hint="eastAsia"/>
                <w:kern w:val="0"/>
                <w:sz w:val="24"/>
                <w:szCs w:val="24"/>
              </w:rPr>
              <w:t>不达预期</w:t>
            </w:r>
          </w:p>
        </w:tc>
      </w:tr>
    </w:tbl>
    <w:p w14:paraId="6369F0F1">
      <w:pPr>
        <w:spacing w:after="0" w:line="240" w:lineRule="atLeast"/>
        <w:jc w:val="left"/>
        <w:rPr>
          <w:sz w:val="24"/>
          <w:szCs w:val="28"/>
        </w:rPr>
      </w:pPr>
      <w:r>
        <w:rPr>
          <w:rFonts w:hint="eastAsia"/>
          <w:sz w:val="24"/>
          <w:szCs w:val="28"/>
        </w:rPr>
        <w:t>注：</w:t>
      </w:r>
      <w:r>
        <w:rPr>
          <w:color w:val="000000"/>
          <w:kern w:val="0"/>
          <w:sz w:val="21"/>
          <w:szCs w:val="21"/>
        </w:rPr>
        <w:t>[ ]为累计数。</w:t>
      </w:r>
    </w:p>
    <w:p w14:paraId="6E28FE0A">
      <w:pPr>
        <w:widowControl/>
        <w:spacing w:after="0" w:line="360" w:lineRule="auto"/>
        <w:ind w:firstLine="640" w:firstLineChars="200"/>
      </w:pPr>
    </w:p>
    <w:p w14:paraId="4B79491C">
      <w:pPr>
        <w:pStyle w:val="23"/>
        <w:spacing w:after="0" w:line="360" w:lineRule="auto"/>
        <w:ind w:left="640"/>
        <w:sectPr>
          <w:footerReference r:id="rId12" w:type="default"/>
          <w:pgSz w:w="11850" w:h="16840"/>
          <w:pgMar w:top="2098" w:right="1474" w:bottom="1984" w:left="1587" w:header="851" w:footer="992" w:gutter="0"/>
          <w:pgNumType w:start="1"/>
          <w:cols w:space="425" w:num="1"/>
          <w:docGrid w:type="lines" w:linePitch="312" w:charSpace="0"/>
        </w:sectPr>
      </w:pPr>
    </w:p>
    <w:bookmarkEnd w:id="74"/>
    <w:bookmarkEnd w:id="75"/>
    <w:p w14:paraId="36C827B1">
      <w:pPr>
        <w:pStyle w:val="41"/>
        <w:spacing w:after="0" w:line="360" w:lineRule="auto"/>
        <w:rPr>
          <w:rFonts w:cs="Times New Roman"/>
        </w:rPr>
      </w:pPr>
      <w:bookmarkStart w:id="112" w:name="_Hlk197896231"/>
      <w:r>
        <w:rPr>
          <w:rFonts w:cs="Times New Roman"/>
        </w:rPr>
        <w:t>表</w:t>
      </w:r>
      <w:r>
        <w:rPr>
          <w:rFonts w:hint="eastAsia" w:cs="Times New Roman"/>
        </w:rPr>
        <w:t xml:space="preserve">2 </w:t>
      </w:r>
      <w:r>
        <w:rPr>
          <w:rFonts w:cs="Times New Roman"/>
        </w:rPr>
        <w:t>东莞市住房发展</w:t>
      </w:r>
      <w:r>
        <w:rPr>
          <w:rFonts w:ascii="黑体" w:hAnsi="黑体" w:cs="黑体"/>
          <w:szCs w:val="24"/>
        </w:rPr>
        <w:t>“</w:t>
      </w:r>
      <w:r>
        <w:rPr>
          <w:rFonts w:cs="Times New Roman"/>
        </w:rPr>
        <w:t>十五五</w:t>
      </w:r>
      <w:r>
        <w:rPr>
          <w:rFonts w:ascii="黑体" w:hAnsi="黑体" w:cs="黑体"/>
          <w:szCs w:val="24"/>
        </w:rPr>
        <w:t>”</w:t>
      </w:r>
      <w:r>
        <w:rPr>
          <w:rFonts w:cs="Times New Roman"/>
        </w:rPr>
        <w:t>规划目标指标</w:t>
      </w:r>
    </w:p>
    <w:tbl>
      <w:tblPr>
        <w:tblStyle w:val="29"/>
        <w:tblW w:w="12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757"/>
        <w:gridCol w:w="4592"/>
        <w:gridCol w:w="1337"/>
        <w:gridCol w:w="2005"/>
        <w:gridCol w:w="2004"/>
        <w:gridCol w:w="1077"/>
      </w:tblGrid>
      <w:tr w14:paraId="6E33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757" w:type="dxa"/>
            <w:shd w:val="clear" w:color="auto" w:fill="FFFFFF"/>
            <w:vAlign w:val="center"/>
          </w:tcPr>
          <w:p w14:paraId="07C51B53">
            <w:pPr>
              <w:pStyle w:val="44"/>
              <w:spacing w:after="0"/>
              <w:rPr>
                <w:rFonts w:cs="Times New Roman"/>
                <w:b/>
                <w:bCs/>
              </w:rPr>
            </w:pPr>
            <w:r>
              <w:rPr>
                <w:rFonts w:cs="Times New Roman"/>
                <w:b/>
                <w:bCs/>
              </w:rPr>
              <w:t>目标</w:t>
            </w:r>
          </w:p>
        </w:tc>
        <w:tc>
          <w:tcPr>
            <w:tcW w:w="4592" w:type="dxa"/>
            <w:shd w:val="clear" w:color="auto" w:fill="FFFFFF"/>
            <w:vAlign w:val="center"/>
          </w:tcPr>
          <w:p w14:paraId="10311D16">
            <w:pPr>
              <w:pStyle w:val="44"/>
              <w:spacing w:after="0"/>
              <w:rPr>
                <w:rFonts w:cs="Times New Roman"/>
                <w:b/>
                <w:bCs/>
              </w:rPr>
            </w:pPr>
            <w:r>
              <w:rPr>
                <w:rFonts w:cs="Times New Roman"/>
                <w:b/>
                <w:bCs/>
              </w:rPr>
              <w:t>指标</w:t>
            </w:r>
          </w:p>
        </w:tc>
        <w:tc>
          <w:tcPr>
            <w:tcW w:w="1337" w:type="dxa"/>
            <w:shd w:val="clear" w:color="auto" w:fill="FFFFFF"/>
            <w:vAlign w:val="center"/>
          </w:tcPr>
          <w:p w14:paraId="6F5EFE3B">
            <w:pPr>
              <w:pStyle w:val="44"/>
              <w:spacing w:after="0"/>
              <w:rPr>
                <w:rFonts w:cs="Times New Roman"/>
                <w:b/>
                <w:bCs/>
              </w:rPr>
            </w:pPr>
            <w:r>
              <w:rPr>
                <w:rFonts w:cs="Times New Roman"/>
                <w:b/>
                <w:bCs/>
              </w:rPr>
              <w:t>单位</w:t>
            </w:r>
          </w:p>
        </w:tc>
        <w:tc>
          <w:tcPr>
            <w:tcW w:w="2005" w:type="dxa"/>
            <w:shd w:val="clear" w:color="auto" w:fill="FFFFFF"/>
            <w:vAlign w:val="center"/>
          </w:tcPr>
          <w:p w14:paraId="77247B78">
            <w:pPr>
              <w:pStyle w:val="44"/>
              <w:spacing w:after="0"/>
              <w:rPr>
                <w:rFonts w:cs="Times New Roman"/>
                <w:b/>
                <w:bCs/>
              </w:rPr>
            </w:pPr>
            <w:r>
              <w:rPr>
                <w:rFonts w:ascii="仿宋_GB2312" w:hAnsi="仿宋_GB2312" w:cs="仿宋_GB2312"/>
                <w:b/>
                <w:bCs/>
              </w:rPr>
              <w:t>“</w:t>
            </w:r>
            <w:r>
              <w:rPr>
                <w:rFonts w:cs="Times New Roman"/>
                <w:b/>
                <w:bCs/>
              </w:rPr>
              <w:t>十四五</w:t>
            </w:r>
            <w:r>
              <w:rPr>
                <w:rFonts w:ascii="仿宋_GB2312" w:hAnsi="仿宋_GB2312" w:cs="仿宋_GB2312"/>
                <w:b/>
                <w:bCs/>
              </w:rPr>
              <w:t>”</w:t>
            </w:r>
            <w:r>
              <w:rPr>
                <w:rFonts w:cs="Times New Roman"/>
                <w:b/>
                <w:bCs/>
              </w:rPr>
              <w:t>现状</w:t>
            </w:r>
          </w:p>
        </w:tc>
        <w:tc>
          <w:tcPr>
            <w:tcW w:w="2004" w:type="dxa"/>
            <w:shd w:val="clear" w:color="auto" w:fill="FFFFFF"/>
            <w:vAlign w:val="center"/>
          </w:tcPr>
          <w:p w14:paraId="04883C73">
            <w:pPr>
              <w:pStyle w:val="44"/>
              <w:spacing w:after="0"/>
              <w:rPr>
                <w:rFonts w:cs="Times New Roman"/>
                <w:b/>
                <w:bCs/>
              </w:rPr>
            </w:pPr>
            <w:r>
              <w:rPr>
                <w:rFonts w:ascii="仿宋_GB2312" w:hAnsi="仿宋_GB2312" w:cs="仿宋_GB2312"/>
                <w:b/>
                <w:bCs/>
              </w:rPr>
              <w:t>“</w:t>
            </w:r>
            <w:r>
              <w:rPr>
                <w:rFonts w:cs="Times New Roman"/>
                <w:b/>
                <w:bCs/>
              </w:rPr>
              <w:t>十五五</w:t>
            </w:r>
            <w:r>
              <w:rPr>
                <w:rFonts w:ascii="仿宋_GB2312" w:hAnsi="仿宋_GB2312" w:cs="仿宋_GB2312"/>
                <w:b/>
                <w:bCs/>
              </w:rPr>
              <w:t>”</w:t>
            </w:r>
            <w:r>
              <w:rPr>
                <w:rFonts w:cs="Times New Roman"/>
                <w:b/>
                <w:bCs/>
              </w:rPr>
              <w:t>目标</w:t>
            </w:r>
          </w:p>
        </w:tc>
        <w:tc>
          <w:tcPr>
            <w:tcW w:w="1077" w:type="dxa"/>
            <w:shd w:val="clear" w:color="auto" w:fill="FFFFFF"/>
            <w:vAlign w:val="center"/>
          </w:tcPr>
          <w:p w14:paraId="1A1061EF">
            <w:pPr>
              <w:pStyle w:val="44"/>
              <w:spacing w:after="0"/>
              <w:rPr>
                <w:rFonts w:cs="Times New Roman"/>
                <w:b/>
                <w:bCs/>
              </w:rPr>
            </w:pPr>
            <w:r>
              <w:rPr>
                <w:rFonts w:cs="Times New Roman"/>
                <w:b/>
                <w:bCs/>
              </w:rPr>
              <w:t>属性</w:t>
            </w:r>
          </w:p>
        </w:tc>
      </w:tr>
      <w:tr w14:paraId="4D47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restart"/>
            <w:shd w:val="clear" w:color="auto" w:fill="FFFFFF"/>
            <w:vAlign w:val="center"/>
          </w:tcPr>
          <w:p w14:paraId="2E22F154">
            <w:pPr>
              <w:pStyle w:val="44"/>
              <w:spacing w:after="0"/>
              <w:rPr>
                <w:rFonts w:cs="Times New Roman"/>
              </w:rPr>
            </w:pPr>
            <w:r>
              <w:rPr>
                <w:rFonts w:cs="Times New Roman"/>
              </w:rPr>
              <w:t>住房市场发展更为稳健</w:t>
            </w:r>
          </w:p>
        </w:tc>
        <w:tc>
          <w:tcPr>
            <w:tcW w:w="4592" w:type="dxa"/>
            <w:shd w:val="clear" w:color="auto" w:fill="FFFFFF"/>
            <w:vAlign w:val="center"/>
          </w:tcPr>
          <w:p w14:paraId="7DC3BCBA">
            <w:pPr>
              <w:pStyle w:val="44"/>
              <w:spacing w:after="0"/>
              <w:rPr>
                <w:rFonts w:cs="Times New Roman"/>
              </w:rPr>
            </w:pPr>
            <w:r>
              <w:rPr>
                <w:rFonts w:cs="Times New Roman"/>
              </w:rPr>
              <w:t>新建商品住房库存去化周期</w:t>
            </w:r>
          </w:p>
        </w:tc>
        <w:tc>
          <w:tcPr>
            <w:tcW w:w="1337" w:type="dxa"/>
            <w:shd w:val="clear" w:color="auto" w:fill="FFFFFF"/>
            <w:vAlign w:val="center"/>
          </w:tcPr>
          <w:p w14:paraId="227C3B27">
            <w:pPr>
              <w:pStyle w:val="44"/>
              <w:spacing w:after="0"/>
              <w:rPr>
                <w:rFonts w:cs="Times New Roman"/>
              </w:rPr>
            </w:pPr>
            <w:r>
              <w:rPr>
                <w:rFonts w:cs="Times New Roman"/>
              </w:rPr>
              <w:t>月</w:t>
            </w:r>
          </w:p>
        </w:tc>
        <w:tc>
          <w:tcPr>
            <w:tcW w:w="2005" w:type="dxa"/>
            <w:shd w:val="clear" w:color="auto" w:fill="FFFFFF"/>
            <w:vAlign w:val="center"/>
          </w:tcPr>
          <w:p w14:paraId="75F01D5D">
            <w:pPr>
              <w:pStyle w:val="44"/>
              <w:spacing w:after="0"/>
              <w:rPr>
                <w:rFonts w:cs="Times New Roman"/>
              </w:rPr>
            </w:pPr>
            <w:r>
              <w:rPr>
                <w:rFonts w:cs="Times New Roman"/>
              </w:rPr>
              <w:t>24.5</w:t>
            </w:r>
          </w:p>
        </w:tc>
        <w:tc>
          <w:tcPr>
            <w:tcW w:w="2004" w:type="dxa"/>
            <w:shd w:val="clear" w:color="auto" w:fill="FFFFFF"/>
            <w:vAlign w:val="center"/>
          </w:tcPr>
          <w:p w14:paraId="1921435D">
            <w:pPr>
              <w:pStyle w:val="44"/>
              <w:spacing w:after="0"/>
              <w:rPr>
                <w:rFonts w:cs="Times New Roman"/>
              </w:rPr>
            </w:pPr>
            <w:r>
              <w:rPr>
                <w:rFonts w:cs="Times New Roman"/>
              </w:rPr>
              <w:t>12-18</w:t>
            </w:r>
          </w:p>
        </w:tc>
        <w:tc>
          <w:tcPr>
            <w:tcW w:w="1077" w:type="dxa"/>
            <w:shd w:val="clear" w:color="auto" w:fill="FFFFFF"/>
            <w:vAlign w:val="center"/>
          </w:tcPr>
          <w:p w14:paraId="215127BB">
            <w:pPr>
              <w:pStyle w:val="44"/>
              <w:spacing w:after="0"/>
              <w:rPr>
                <w:rFonts w:cs="Times New Roman"/>
              </w:rPr>
            </w:pPr>
            <w:r>
              <w:rPr>
                <w:rFonts w:cs="Times New Roman"/>
              </w:rPr>
              <w:t>预期性</w:t>
            </w:r>
          </w:p>
        </w:tc>
      </w:tr>
      <w:tr w14:paraId="2F9C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719AD78A">
            <w:pPr>
              <w:pStyle w:val="44"/>
              <w:spacing w:after="0"/>
              <w:rPr>
                <w:rFonts w:cs="Times New Roman"/>
              </w:rPr>
            </w:pPr>
          </w:p>
        </w:tc>
        <w:tc>
          <w:tcPr>
            <w:tcW w:w="4592" w:type="dxa"/>
            <w:shd w:val="clear" w:color="auto" w:fill="FFFFFF"/>
            <w:vAlign w:val="center"/>
          </w:tcPr>
          <w:p w14:paraId="41587F62">
            <w:pPr>
              <w:pStyle w:val="44"/>
              <w:spacing w:after="0"/>
              <w:rPr>
                <w:rFonts w:cs="Times New Roman"/>
              </w:rPr>
            </w:pPr>
            <w:bookmarkStart w:id="113" w:name="_Hlk218700125"/>
            <w:r>
              <w:rPr>
                <w:rFonts w:cs="Times New Roman"/>
              </w:rPr>
              <w:t>批准</w:t>
            </w:r>
            <w:r>
              <w:rPr>
                <w:rFonts w:hint="eastAsia" w:cs="Times New Roman"/>
                <w:lang w:eastAsia="zh-CN"/>
              </w:rPr>
              <w:t>销</w:t>
            </w:r>
            <w:r>
              <w:rPr>
                <w:rFonts w:cs="Times New Roman"/>
              </w:rPr>
              <w:t>售新建商品住房</w:t>
            </w:r>
            <w:bookmarkEnd w:id="113"/>
          </w:p>
        </w:tc>
        <w:tc>
          <w:tcPr>
            <w:tcW w:w="1337" w:type="dxa"/>
            <w:shd w:val="clear" w:color="auto" w:fill="FFFFFF"/>
            <w:vAlign w:val="center"/>
          </w:tcPr>
          <w:p w14:paraId="37B585F8">
            <w:pPr>
              <w:pStyle w:val="44"/>
              <w:spacing w:after="0"/>
              <w:rPr>
                <w:rFonts w:cs="Times New Roman"/>
              </w:rPr>
            </w:pPr>
            <w:r>
              <w:rPr>
                <w:rFonts w:cs="Times New Roman"/>
              </w:rPr>
              <w:t>万套</w:t>
            </w:r>
          </w:p>
        </w:tc>
        <w:tc>
          <w:tcPr>
            <w:tcW w:w="2005" w:type="dxa"/>
            <w:shd w:val="clear" w:color="auto" w:fill="FFFFFF"/>
            <w:vAlign w:val="center"/>
          </w:tcPr>
          <w:p w14:paraId="305847EE">
            <w:pPr>
              <w:pStyle w:val="44"/>
              <w:spacing w:after="0"/>
              <w:rPr>
                <w:rFonts w:cs="Times New Roman"/>
              </w:rPr>
            </w:pPr>
            <w:r>
              <w:rPr>
                <w:rFonts w:cs="Times New Roman"/>
              </w:rPr>
              <w:t>[12]</w:t>
            </w:r>
          </w:p>
        </w:tc>
        <w:tc>
          <w:tcPr>
            <w:tcW w:w="2004" w:type="dxa"/>
            <w:shd w:val="clear" w:color="auto" w:fill="FFFFFF"/>
            <w:vAlign w:val="center"/>
          </w:tcPr>
          <w:p w14:paraId="586BFED5">
            <w:pPr>
              <w:pStyle w:val="44"/>
              <w:spacing w:after="0"/>
              <w:rPr>
                <w:rFonts w:cs="Times New Roman"/>
              </w:rPr>
            </w:pPr>
            <w:r>
              <w:rPr>
                <w:rFonts w:cs="Times New Roman"/>
              </w:rPr>
              <w:t>[10]</w:t>
            </w:r>
          </w:p>
        </w:tc>
        <w:tc>
          <w:tcPr>
            <w:tcW w:w="1077" w:type="dxa"/>
            <w:shd w:val="clear" w:color="auto" w:fill="FFFFFF"/>
            <w:vAlign w:val="center"/>
          </w:tcPr>
          <w:p w14:paraId="5BD35541">
            <w:pPr>
              <w:pStyle w:val="44"/>
              <w:spacing w:after="0"/>
              <w:rPr>
                <w:rFonts w:cs="Times New Roman"/>
              </w:rPr>
            </w:pPr>
            <w:r>
              <w:rPr>
                <w:rFonts w:cs="Times New Roman"/>
              </w:rPr>
              <w:t>预期性</w:t>
            </w:r>
          </w:p>
        </w:tc>
      </w:tr>
      <w:tr w14:paraId="669E5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445533EA">
            <w:pPr>
              <w:pStyle w:val="44"/>
              <w:spacing w:after="0"/>
              <w:rPr>
                <w:rFonts w:cs="Times New Roman"/>
              </w:rPr>
            </w:pPr>
          </w:p>
        </w:tc>
        <w:tc>
          <w:tcPr>
            <w:tcW w:w="4592" w:type="dxa"/>
            <w:shd w:val="clear" w:color="auto" w:fill="FFFFFF"/>
            <w:vAlign w:val="center"/>
          </w:tcPr>
          <w:p w14:paraId="4134864C">
            <w:pPr>
              <w:pStyle w:val="44"/>
              <w:spacing w:after="0"/>
              <w:rPr>
                <w:rFonts w:cs="Times New Roman"/>
              </w:rPr>
            </w:pPr>
            <w:bookmarkStart w:id="114" w:name="_Hlk229241046"/>
            <w:r>
              <w:rPr>
                <w:rFonts w:hint="eastAsia" w:cs="Times New Roman"/>
              </w:rPr>
              <w:t>新建商品住房和二手住房交易总规模</w:t>
            </w:r>
            <w:bookmarkEnd w:id="114"/>
          </w:p>
        </w:tc>
        <w:tc>
          <w:tcPr>
            <w:tcW w:w="1337" w:type="dxa"/>
            <w:shd w:val="clear" w:color="auto" w:fill="FFFFFF"/>
            <w:vAlign w:val="center"/>
          </w:tcPr>
          <w:p w14:paraId="6EE00F17">
            <w:pPr>
              <w:pStyle w:val="44"/>
              <w:spacing w:after="0"/>
              <w:rPr>
                <w:rFonts w:cs="Times New Roman"/>
              </w:rPr>
            </w:pPr>
            <w:r>
              <w:rPr>
                <w:rFonts w:hint="eastAsia" w:cs="Times New Roman"/>
              </w:rPr>
              <w:t>万平方米</w:t>
            </w:r>
          </w:p>
        </w:tc>
        <w:tc>
          <w:tcPr>
            <w:tcW w:w="2005" w:type="dxa"/>
            <w:shd w:val="clear" w:color="auto" w:fill="FFFFFF"/>
            <w:vAlign w:val="center"/>
          </w:tcPr>
          <w:p w14:paraId="78D2E6F1">
            <w:pPr>
              <w:pStyle w:val="44"/>
              <w:spacing w:after="0"/>
              <w:rPr>
                <w:rFonts w:cs="Times New Roman"/>
              </w:rPr>
            </w:pPr>
            <w:r>
              <w:rPr>
                <w:rFonts w:hint="eastAsia" w:cs="Times New Roman"/>
              </w:rPr>
              <w:t>[2779]</w:t>
            </w:r>
          </w:p>
        </w:tc>
        <w:tc>
          <w:tcPr>
            <w:tcW w:w="2004" w:type="dxa"/>
            <w:shd w:val="clear" w:color="auto" w:fill="FFFFFF"/>
            <w:vAlign w:val="center"/>
          </w:tcPr>
          <w:p w14:paraId="5790DE56">
            <w:pPr>
              <w:pStyle w:val="44"/>
              <w:spacing w:after="0"/>
              <w:rPr>
                <w:rFonts w:cs="Times New Roman"/>
              </w:rPr>
            </w:pPr>
            <w:r>
              <w:rPr>
                <w:rFonts w:hint="eastAsia" w:cs="Times New Roman"/>
              </w:rPr>
              <w:t>[3025]</w:t>
            </w:r>
          </w:p>
        </w:tc>
        <w:tc>
          <w:tcPr>
            <w:tcW w:w="1077" w:type="dxa"/>
            <w:shd w:val="clear" w:color="auto" w:fill="FFFFFF"/>
            <w:vAlign w:val="center"/>
          </w:tcPr>
          <w:p w14:paraId="6DB60EBC">
            <w:pPr>
              <w:pStyle w:val="44"/>
              <w:spacing w:after="0"/>
              <w:rPr>
                <w:rFonts w:cs="Times New Roman"/>
              </w:rPr>
            </w:pPr>
            <w:r>
              <w:rPr>
                <w:rFonts w:hint="eastAsia" w:cs="Times New Roman"/>
              </w:rPr>
              <w:t>预期性</w:t>
            </w:r>
          </w:p>
        </w:tc>
      </w:tr>
      <w:tr w14:paraId="3113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2047F92F">
            <w:pPr>
              <w:pStyle w:val="44"/>
              <w:spacing w:after="0"/>
              <w:rPr>
                <w:rFonts w:cs="Times New Roman"/>
              </w:rPr>
            </w:pPr>
          </w:p>
        </w:tc>
        <w:tc>
          <w:tcPr>
            <w:tcW w:w="4592" w:type="dxa"/>
            <w:shd w:val="clear" w:color="auto" w:fill="FFFFFF"/>
            <w:vAlign w:val="center"/>
          </w:tcPr>
          <w:p w14:paraId="3EFB7EE0">
            <w:pPr>
              <w:pStyle w:val="44"/>
              <w:spacing w:after="0"/>
              <w:rPr>
                <w:rFonts w:cs="Times New Roman"/>
              </w:rPr>
            </w:pPr>
            <w:r>
              <w:rPr>
                <w:rFonts w:cs="Times New Roman"/>
              </w:rPr>
              <w:t>住房公积金</w:t>
            </w:r>
            <w:r>
              <w:rPr>
                <w:rFonts w:hint="eastAsia" w:cs="Times New Roman"/>
              </w:rPr>
              <w:t>实缴</w:t>
            </w:r>
            <w:r>
              <w:rPr>
                <w:rFonts w:cs="Times New Roman"/>
              </w:rPr>
              <w:t>人数</w:t>
            </w:r>
          </w:p>
        </w:tc>
        <w:tc>
          <w:tcPr>
            <w:tcW w:w="1337" w:type="dxa"/>
            <w:shd w:val="clear" w:color="auto" w:fill="FFFFFF"/>
            <w:vAlign w:val="center"/>
          </w:tcPr>
          <w:p w14:paraId="76526537">
            <w:pPr>
              <w:pStyle w:val="44"/>
              <w:spacing w:after="0"/>
              <w:rPr>
                <w:rFonts w:cs="Times New Roman"/>
              </w:rPr>
            </w:pPr>
            <w:r>
              <w:rPr>
                <w:rFonts w:cs="Times New Roman"/>
              </w:rPr>
              <w:t>万人</w:t>
            </w:r>
          </w:p>
        </w:tc>
        <w:tc>
          <w:tcPr>
            <w:tcW w:w="2005" w:type="dxa"/>
            <w:shd w:val="clear" w:color="auto" w:fill="FFFFFF"/>
            <w:vAlign w:val="center"/>
          </w:tcPr>
          <w:p w14:paraId="1C4514BC">
            <w:pPr>
              <w:pStyle w:val="44"/>
              <w:spacing w:after="0"/>
              <w:rPr>
                <w:rFonts w:cs="Times New Roman"/>
              </w:rPr>
            </w:pPr>
            <w:r>
              <w:rPr>
                <w:rFonts w:hint="eastAsia" w:cs="Times New Roman"/>
              </w:rPr>
              <w:t>241</w:t>
            </w:r>
          </w:p>
        </w:tc>
        <w:tc>
          <w:tcPr>
            <w:tcW w:w="2004" w:type="dxa"/>
            <w:shd w:val="clear" w:color="auto" w:fill="FFFFFF"/>
            <w:vAlign w:val="center"/>
          </w:tcPr>
          <w:p w14:paraId="11FF4588">
            <w:pPr>
              <w:pStyle w:val="44"/>
              <w:spacing w:after="0"/>
              <w:rPr>
                <w:rFonts w:cs="Times New Roman"/>
              </w:rPr>
            </w:pPr>
            <w:r>
              <w:rPr>
                <w:rFonts w:hint="eastAsia" w:cs="Times New Roman"/>
              </w:rPr>
              <w:t>289</w:t>
            </w:r>
          </w:p>
        </w:tc>
        <w:tc>
          <w:tcPr>
            <w:tcW w:w="1077" w:type="dxa"/>
            <w:shd w:val="clear" w:color="auto" w:fill="FFFFFF"/>
            <w:vAlign w:val="center"/>
          </w:tcPr>
          <w:p w14:paraId="53A75ECD">
            <w:pPr>
              <w:pStyle w:val="44"/>
              <w:spacing w:after="0"/>
              <w:rPr>
                <w:rFonts w:cs="Times New Roman"/>
              </w:rPr>
            </w:pPr>
            <w:r>
              <w:rPr>
                <w:rFonts w:cs="Times New Roman"/>
              </w:rPr>
              <w:t>预期性</w:t>
            </w:r>
          </w:p>
        </w:tc>
      </w:tr>
      <w:tr w14:paraId="45935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465734AF">
            <w:pPr>
              <w:pStyle w:val="44"/>
              <w:spacing w:after="0"/>
              <w:rPr>
                <w:rFonts w:cs="Times New Roman"/>
              </w:rPr>
            </w:pPr>
          </w:p>
        </w:tc>
        <w:tc>
          <w:tcPr>
            <w:tcW w:w="4592" w:type="dxa"/>
            <w:shd w:val="clear" w:color="auto" w:fill="FFFFFF"/>
            <w:vAlign w:val="center"/>
          </w:tcPr>
          <w:p w14:paraId="6E84EB4F">
            <w:pPr>
              <w:pStyle w:val="44"/>
              <w:spacing w:after="0"/>
              <w:rPr>
                <w:rFonts w:cs="Times New Roman"/>
              </w:rPr>
            </w:pPr>
            <w:r>
              <w:rPr>
                <w:rFonts w:cs="Times New Roman"/>
              </w:rPr>
              <w:t>住房公积金个人住房贷款市场占有率</w:t>
            </w:r>
          </w:p>
        </w:tc>
        <w:tc>
          <w:tcPr>
            <w:tcW w:w="1337" w:type="dxa"/>
            <w:shd w:val="clear" w:color="auto" w:fill="FFFFFF"/>
            <w:vAlign w:val="center"/>
          </w:tcPr>
          <w:p w14:paraId="06D09571">
            <w:pPr>
              <w:pStyle w:val="44"/>
              <w:spacing w:after="0"/>
              <w:rPr>
                <w:rFonts w:cs="Times New Roman"/>
              </w:rPr>
            </w:pPr>
            <w:r>
              <w:rPr>
                <w:rFonts w:cs="Times New Roman"/>
              </w:rPr>
              <w:t>%</w:t>
            </w:r>
          </w:p>
        </w:tc>
        <w:tc>
          <w:tcPr>
            <w:tcW w:w="2005" w:type="dxa"/>
            <w:shd w:val="clear" w:color="auto" w:fill="FFFFFF"/>
            <w:vAlign w:val="center"/>
          </w:tcPr>
          <w:p w14:paraId="2EB5402E">
            <w:pPr>
              <w:pStyle w:val="44"/>
              <w:spacing w:after="0"/>
              <w:rPr>
                <w:rFonts w:cs="Times New Roman"/>
              </w:rPr>
            </w:pPr>
            <w:r>
              <w:rPr>
                <w:rFonts w:cs="Times New Roman"/>
              </w:rPr>
              <w:t>10</w:t>
            </w:r>
          </w:p>
        </w:tc>
        <w:tc>
          <w:tcPr>
            <w:tcW w:w="2004" w:type="dxa"/>
            <w:shd w:val="clear" w:color="auto" w:fill="FFFFFF"/>
            <w:vAlign w:val="center"/>
          </w:tcPr>
          <w:p w14:paraId="2DC89F56">
            <w:pPr>
              <w:pStyle w:val="44"/>
              <w:spacing w:after="0"/>
              <w:rPr>
                <w:rFonts w:cs="Times New Roman"/>
              </w:rPr>
            </w:pPr>
            <w:r>
              <w:rPr>
                <w:rFonts w:cs="Times New Roman"/>
              </w:rPr>
              <w:t>12</w:t>
            </w:r>
          </w:p>
        </w:tc>
        <w:tc>
          <w:tcPr>
            <w:tcW w:w="1077" w:type="dxa"/>
            <w:shd w:val="clear" w:color="auto" w:fill="FFFFFF"/>
            <w:vAlign w:val="center"/>
          </w:tcPr>
          <w:p w14:paraId="4E74156B">
            <w:pPr>
              <w:pStyle w:val="44"/>
              <w:spacing w:after="0"/>
              <w:rPr>
                <w:rFonts w:cs="Times New Roman"/>
              </w:rPr>
            </w:pPr>
            <w:r>
              <w:rPr>
                <w:rFonts w:cs="Times New Roman"/>
              </w:rPr>
              <w:t>预期性</w:t>
            </w:r>
          </w:p>
        </w:tc>
      </w:tr>
      <w:tr w14:paraId="1C32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restart"/>
            <w:shd w:val="clear" w:color="auto" w:fill="FFFFFF"/>
            <w:vAlign w:val="center"/>
          </w:tcPr>
          <w:p w14:paraId="04C2B240">
            <w:pPr>
              <w:pStyle w:val="44"/>
              <w:spacing w:after="0"/>
              <w:rPr>
                <w:rFonts w:cs="Times New Roman"/>
              </w:rPr>
            </w:pPr>
            <w:r>
              <w:rPr>
                <w:rFonts w:cs="Times New Roman"/>
              </w:rPr>
              <w:t>住房保障实施更加精准</w:t>
            </w:r>
          </w:p>
        </w:tc>
        <w:tc>
          <w:tcPr>
            <w:tcW w:w="4592" w:type="dxa"/>
            <w:shd w:val="clear" w:color="auto" w:fill="FFFFFF"/>
            <w:vAlign w:val="center"/>
          </w:tcPr>
          <w:p w14:paraId="7EF10564">
            <w:pPr>
              <w:pStyle w:val="44"/>
              <w:spacing w:after="0"/>
              <w:rPr>
                <w:rFonts w:cs="Times New Roman"/>
              </w:rPr>
            </w:pPr>
            <w:r>
              <w:rPr>
                <w:rFonts w:cs="Times New Roman"/>
              </w:rPr>
              <w:t>年均发放住房保障货币补贴</w:t>
            </w:r>
          </w:p>
        </w:tc>
        <w:tc>
          <w:tcPr>
            <w:tcW w:w="1337" w:type="dxa"/>
            <w:shd w:val="clear" w:color="auto" w:fill="FFFFFF"/>
            <w:vAlign w:val="center"/>
          </w:tcPr>
          <w:p w14:paraId="27FB0532">
            <w:pPr>
              <w:pStyle w:val="44"/>
              <w:spacing w:after="0"/>
              <w:rPr>
                <w:rFonts w:cs="Times New Roman"/>
              </w:rPr>
            </w:pPr>
            <w:r>
              <w:rPr>
                <w:rFonts w:cs="Times New Roman"/>
              </w:rPr>
              <w:t>户</w:t>
            </w:r>
          </w:p>
        </w:tc>
        <w:tc>
          <w:tcPr>
            <w:tcW w:w="2005" w:type="dxa"/>
            <w:shd w:val="clear" w:color="auto" w:fill="FFFFFF"/>
            <w:vAlign w:val="center"/>
          </w:tcPr>
          <w:p w14:paraId="5EAFE25F">
            <w:pPr>
              <w:pStyle w:val="44"/>
              <w:spacing w:after="0"/>
              <w:rPr>
                <w:rFonts w:cs="Times New Roman"/>
              </w:rPr>
            </w:pPr>
            <w:r>
              <w:rPr>
                <w:rFonts w:hint="eastAsia" w:cs="Times New Roman"/>
              </w:rPr>
              <w:t>[</w:t>
            </w:r>
            <w:r>
              <w:rPr>
                <w:rFonts w:cs="Times New Roman"/>
              </w:rPr>
              <w:t>3000</w:t>
            </w:r>
            <w:r>
              <w:rPr>
                <w:rFonts w:hint="eastAsia" w:cs="Times New Roman"/>
              </w:rPr>
              <w:t>]</w:t>
            </w:r>
          </w:p>
        </w:tc>
        <w:tc>
          <w:tcPr>
            <w:tcW w:w="2004" w:type="dxa"/>
            <w:shd w:val="clear" w:color="auto" w:fill="FFFFFF"/>
            <w:vAlign w:val="center"/>
          </w:tcPr>
          <w:p w14:paraId="4E04A0DD">
            <w:pPr>
              <w:pStyle w:val="44"/>
              <w:spacing w:after="0"/>
              <w:rPr>
                <w:rFonts w:cs="Times New Roman"/>
              </w:rPr>
            </w:pPr>
            <w:r>
              <w:rPr>
                <w:rFonts w:hint="eastAsia" w:cs="Times New Roman"/>
              </w:rPr>
              <w:t>[</w:t>
            </w:r>
            <w:r>
              <w:rPr>
                <w:rFonts w:cs="Times New Roman"/>
              </w:rPr>
              <w:t>4000</w:t>
            </w:r>
            <w:r>
              <w:rPr>
                <w:rFonts w:hint="eastAsia" w:cs="Times New Roman"/>
              </w:rPr>
              <w:t>]</w:t>
            </w:r>
          </w:p>
        </w:tc>
        <w:tc>
          <w:tcPr>
            <w:tcW w:w="1077" w:type="dxa"/>
            <w:shd w:val="clear" w:color="auto" w:fill="FFFFFF"/>
            <w:vAlign w:val="center"/>
          </w:tcPr>
          <w:p w14:paraId="6108357E">
            <w:pPr>
              <w:pStyle w:val="44"/>
              <w:spacing w:after="0"/>
              <w:rPr>
                <w:rFonts w:cs="Times New Roman"/>
              </w:rPr>
            </w:pPr>
            <w:r>
              <w:rPr>
                <w:rFonts w:cs="Times New Roman"/>
              </w:rPr>
              <w:t>预期性</w:t>
            </w:r>
          </w:p>
        </w:tc>
      </w:tr>
      <w:tr w14:paraId="67E0B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0C3D555B">
            <w:pPr>
              <w:pStyle w:val="44"/>
              <w:spacing w:after="0"/>
              <w:rPr>
                <w:rFonts w:cs="Times New Roman"/>
              </w:rPr>
            </w:pPr>
          </w:p>
        </w:tc>
        <w:tc>
          <w:tcPr>
            <w:tcW w:w="4592" w:type="dxa"/>
            <w:shd w:val="clear" w:color="auto" w:fill="FFFFFF"/>
            <w:vAlign w:val="center"/>
          </w:tcPr>
          <w:p w14:paraId="66E21470">
            <w:pPr>
              <w:pStyle w:val="44"/>
              <w:spacing w:after="0"/>
              <w:rPr>
                <w:rFonts w:cs="Times New Roman"/>
              </w:rPr>
            </w:pPr>
            <w:r>
              <w:rPr>
                <w:rFonts w:cs="Times New Roman"/>
              </w:rPr>
              <w:t>建设筹集保障性租赁住房</w:t>
            </w:r>
          </w:p>
        </w:tc>
        <w:tc>
          <w:tcPr>
            <w:tcW w:w="1337" w:type="dxa"/>
            <w:shd w:val="clear" w:color="auto" w:fill="FFFFFF"/>
            <w:vAlign w:val="center"/>
          </w:tcPr>
          <w:p w14:paraId="71ED3447">
            <w:pPr>
              <w:pStyle w:val="44"/>
              <w:spacing w:after="0"/>
              <w:rPr>
                <w:rFonts w:cs="Times New Roman"/>
              </w:rPr>
            </w:pPr>
            <w:r>
              <w:rPr>
                <w:rFonts w:cs="Times New Roman"/>
              </w:rPr>
              <w:t>万套/间</w:t>
            </w:r>
          </w:p>
        </w:tc>
        <w:tc>
          <w:tcPr>
            <w:tcW w:w="2005" w:type="dxa"/>
            <w:shd w:val="clear" w:color="auto" w:fill="FFFFFF"/>
            <w:vAlign w:val="center"/>
          </w:tcPr>
          <w:p w14:paraId="3E004AC7">
            <w:pPr>
              <w:pStyle w:val="44"/>
              <w:spacing w:after="0"/>
              <w:rPr>
                <w:rFonts w:cs="Times New Roman"/>
              </w:rPr>
            </w:pPr>
            <w:r>
              <w:rPr>
                <w:rFonts w:cs="Times New Roman"/>
              </w:rPr>
              <w:t>[10]</w:t>
            </w:r>
          </w:p>
        </w:tc>
        <w:tc>
          <w:tcPr>
            <w:tcW w:w="2004" w:type="dxa"/>
            <w:shd w:val="clear" w:color="auto" w:fill="FFFFFF"/>
            <w:vAlign w:val="center"/>
          </w:tcPr>
          <w:p w14:paraId="4A6D557A">
            <w:pPr>
              <w:pStyle w:val="44"/>
              <w:spacing w:after="0"/>
              <w:rPr>
                <w:rFonts w:cs="Times New Roman"/>
              </w:rPr>
            </w:pPr>
            <w:r>
              <w:rPr>
                <w:rFonts w:cs="Times New Roman"/>
              </w:rPr>
              <w:t>[1.5]</w:t>
            </w:r>
          </w:p>
        </w:tc>
        <w:tc>
          <w:tcPr>
            <w:tcW w:w="1077" w:type="dxa"/>
            <w:shd w:val="clear" w:color="auto" w:fill="FFFFFF"/>
            <w:vAlign w:val="center"/>
          </w:tcPr>
          <w:p w14:paraId="499E7A69">
            <w:pPr>
              <w:pStyle w:val="44"/>
              <w:spacing w:after="0"/>
              <w:rPr>
                <w:rFonts w:cs="Times New Roman"/>
              </w:rPr>
            </w:pPr>
            <w:r>
              <w:rPr>
                <w:rFonts w:cs="Times New Roman"/>
              </w:rPr>
              <w:t>预期性</w:t>
            </w:r>
          </w:p>
        </w:tc>
      </w:tr>
      <w:tr w14:paraId="10CD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07010CF1">
            <w:pPr>
              <w:pStyle w:val="44"/>
              <w:spacing w:after="0"/>
              <w:rPr>
                <w:rFonts w:cs="Times New Roman"/>
              </w:rPr>
            </w:pPr>
          </w:p>
        </w:tc>
        <w:tc>
          <w:tcPr>
            <w:tcW w:w="4592" w:type="dxa"/>
            <w:shd w:val="clear" w:color="auto" w:fill="FFFFFF"/>
            <w:vAlign w:val="center"/>
          </w:tcPr>
          <w:p w14:paraId="36FA46EC">
            <w:pPr>
              <w:pStyle w:val="44"/>
              <w:spacing w:after="0"/>
              <w:rPr>
                <w:rFonts w:cs="Times New Roman"/>
              </w:rPr>
            </w:pPr>
            <w:r>
              <w:rPr>
                <w:rFonts w:cs="Times New Roman"/>
              </w:rPr>
              <w:t>建设筹集配售型保障性住房</w:t>
            </w:r>
          </w:p>
        </w:tc>
        <w:tc>
          <w:tcPr>
            <w:tcW w:w="1337" w:type="dxa"/>
            <w:shd w:val="clear" w:color="auto" w:fill="FFFFFF"/>
            <w:vAlign w:val="center"/>
          </w:tcPr>
          <w:p w14:paraId="2F2A15F8">
            <w:pPr>
              <w:pStyle w:val="44"/>
              <w:spacing w:after="0"/>
              <w:rPr>
                <w:rFonts w:cs="Times New Roman"/>
              </w:rPr>
            </w:pPr>
            <w:r>
              <w:rPr>
                <w:rFonts w:cs="Times New Roman"/>
              </w:rPr>
              <w:t>套</w:t>
            </w:r>
          </w:p>
        </w:tc>
        <w:tc>
          <w:tcPr>
            <w:tcW w:w="2005" w:type="dxa"/>
            <w:shd w:val="clear" w:color="auto" w:fill="FFFFFF"/>
            <w:vAlign w:val="center"/>
          </w:tcPr>
          <w:p w14:paraId="0E0B4D89">
            <w:pPr>
              <w:pStyle w:val="44"/>
              <w:spacing w:after="0"/>
              <w:rPr>
                <w:rFonts w:cs="Times New Roman"/>
              </w:rPr>
            </w:pPr>
            <w:r>
              <w:rPr>
                <w:rFonts w:cs="Times New Roman"/>
              </w:rPr>
              <w:t>[4201]</w:t>
            </w:r>
          </w:p>
        </w:tc>
        <w:tc>
          <w:tcPr>
            <w:tcW w:w="2004" w:type="dxa"/>
            <w:shd w:val="clear" w:color="auto" w:fill="FFFFFF"/>
            <w:vAlign w:val="center"/>
          </w:tcPr>
          <w:p w14:paraId="7311D793">
            <w:pPr>
              <w:pStyle w:val="44"/>
              <w:spacing w:after="0"/>
              <w:rPr>
                <w:rFonts w:cs="Times New Roman"/>
              </w:rPr>
            </w:pPr>
            <w:r>
              <w:rPr>
                <w:rFonts w:cs="Times New Roman"/>
              </w:rPr>
              <w:t>[2500]</w:t>
            </w:r>
          </w:p>
        </w:tc>
        <w:tc>
          <w:tcPr>
            <w:tcW w:w="1077" w:type="dxa"/>
            <w:shd w:val="clear" w:color="auto" w:fill="FFFFFF"/>
            <w:vAlign w:val="center"/>
          </w:tcPr>
          <w:p w14:paraId="568F260A">
            <w:pPr>
              <w:pStyle w:val="44"/>
              <w:spacing w:after="0"/>
              <w:rPr>
                <w:rFonts w:cs="Times New Roman"/>
              </w:rPr>
            </w:pPr>
            <w:r>
              <w:rPr>
                <w:rFonts w:cs="Times New Roman"/>
              </w:rPr>
              <w:t>预期性</w:t>
            </w:r>
          </w:p>
        </w:tc>
      </w:tr>
      <w:tr w14:paraId="738A6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restart"/>
            <w:shd w:val="clear" w:color="auto" w:fill="FFFFFF"/>
            <w:vAlign w:val="center"/>
          </w:tcPr>
          <w:p w14:paraId="04903900">
            <w:pPr>
              <w:pStyle w:val="44"/>
              <w:spacing w:after="0"/>
              <w:rPr>
                <w:rFonts w:cs="Times New Roman"/>
              </w:rPr>
            </w:pPr>
            <w:r>
              <w:rPr>
                <w:rFonts w:cs="Times New Roman"/>
              </w:rPr>
              <w:t>城市居住环境更具品质</w:t>
            </w:r>
          </w:p>
        </w:tc>
        <w:tc>
          <w:tcPr>
            <w:tcW w:w="4592" w:type="dxa"/>
            <w:shd w:val="clear" w:color="auto" w:fill="FFFFFF"/>
            <w:vAlign w:val="center"/>
          </w:tcPr>
          <w:p w14:paraId="2A8E6492">
            <w:pPr>
              <w:pStyle w:val="44"/>
              <w:spacing w:after="0"/>
              <w:rPr>
                <w:rFonts w:cs="Times New Roman"/>
              </w:rPr>
            </w:pPr>
            <w:r>
              <w:rPr>
                <w:rFonts w:cs="Times New Roman"/>
              </w:rPr>
              <w:t>新开工老旧小区改造</w:t>
            </w:r>
          </w:p>
        </w:tc>
        <w:tc>
          <w:tcPr>
            <w:tcW w:w="1337" w:type="dxa"/>
            <w:shd w:val="clear" w:color="auto" w:fill="FFFFFF"/>
            <w:vAlign w:val="center"/>
          </w:tcPr>
          <w:p w14:paraId="0C2BE60D">
            <w:pPr>
              <w:pStyle w:val="44"/>
              <w:spacing w:after="0"/>
              <w:rPr>
                <w:rFonts w:cs="Times New Roman"/>
              </w:rPr>
            </w:pPr>
            <w:r>
              <w:rPr>
                <w:rFonts w:cs="Times New Roman"/>
              </w:rPr>
              <w:t>个</w:t>
            </w:r>
          </w:p>
        </w:tc>
        <w:tc>
          <w:tcPr>
            <w:tcW w:w="2005" w:type="dxa"/>
            <w:shd w:val="clear" w:color="auto" w:fill="FFFFFF"/>
            <w:vAlign w:val="center"/>
          </w:tcPr>
          <w:p w14:paraId="4A5A4EA0">
            <w:pPr>
              <w:pStyle w:val="44"/>
              <w:spacing w:after="0"/>
              <w:rPr>
                <w:rFonts w:cs="Times New Roman"/>
              </w:rPr>
            </w:pPr>
            <w:r>
              <w:rPr>
                <w:rFonts w:cs="Times New Roman"/>
              </w:rPr>
              <w:t>[153]</w:t>
            </w:r>
          </w:p>
        </w:tc>
        <w:tc>
          <w:tcPr>
            <w:tcW w:w="2004" w:type="dxa"/>
            <w:shd w:val="clear" w:color="auto" w:fill="FFFFFF"/>
            <w:vAlign w:val="center"/>
          </w:tcPr>
          <w:p w14:paraId="1D2283E9">
            <w:pPr>
              <w:pStyle w:val="44"/>
              <w:spacing w:after="0"/>
              <w:rPr>
                <w:rFonts w:cs="Times New Roman"/>
              </w:rPr>
            </w:pPr>
            <w:r>
              <w:rPr>
                <w:rFonts w:cs="Times New Roman"/>
              </w:rPr>
              <w:t>[500]</w:t>
            </w:r>
          </w:p>
        </w:tc>
        <w:tc>
          <w:tcPr>
            <w:tcW w:w="1077" w:type="dxa"/>
            <w:shd w:val="clear" w:color="auto" w:fill="FFFFFF"/>
            <w:vAlign w:val="center"/>
          </w:tcPr>
          <w:p w14:paraId="7EB13A6D">
            <w:pPr>
              <w:pStyle w:val="44"/>
              <w:spacing w:after="0"/>
              <w:rPr>
                <w:rFonts w:cs="Times New Roman"/>
              </w:rPr>
            </w:pPr>
            <w:r>
              <w:rPr>
                <w:rFonts w:cs="Times New Roman"/>
              </w:rPr>
              <w:t>预期性</w:t>
            </w:r>
          </w:p>
        </w:tc>
      </w:tr>
      <w:tr w14:paraId="6A04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5D9EA062">
            <w:pPr>
              <w:pStyle w:val="44"/>
              <w:spacing w:after="0"/>
              <w:rPr>
                <w:rFonts w:cs="Times New Roman"/>
              </w:rPr>
            </w:pPr>
          </w:p>
        </w:tc>
        <w:tc>
          <w:tcPr>
            <w:tcW w:w="4592" w:type="dxa"/>
            <w:shd w:val="clear" w:color="auto" w:fill="FFFFFF"/>
            <w:vAlign w:val="center"/>
          </w:tcPr>
          <w:p w14:paraId="208A08B8">
            <w:pPr>
              <w:pStyle w:val="44"/>
              <w:spacing w:after="0"/>
              <w:rPr>
                <w:rFonts w:cs="Times New Roman"/>
              </w:rPr>
            </w:pPr>
            <w:r>
              <w:rPr>
                <w:rFonts w:cs="Times New Roman"/>
                <w:szCs w:val="32"/>
              </w:rPr>
              <w:t>启动整治提升类城中村改造</w:t>
            </w:r>
          </w:p>
        </w:tc>
        <w:tc>
          <w:tcPr>
            <w:tcW w:w="1337" w:type="dxa"/>
            <w:shd w:val="clear" w:color="auto" w:fill="FFFFFF"/>
            <w:vAlign w:val="center"/>
          </w:tcPr>
          <w:p w14:paraId="34A60874">
            <w:pPr>
              <w:pStyle w:val="44"/>
              <w:spacing w:after="0"/>
              <w:rPr>
                <w:rFonts w:cs="Times New Roman"/>
              </w:rPr>
            </w:pPr>
            <w:r>
              <w:rPr>
                <w:rFonts w:cs="Times New Roman"/>
              </w:rPr>
              <w:t>个</w:t>
            </w:r>
          </w:p>
        </w:tc>
        <w:tc>
          <w:tcPr>
            <w:tcW w:w="2005" w:type="dxa"/>
            <w:shd w:val="clear" w:color="auto" w:fill="FFFFFF"/>
            <w:vAlign w:val="center"/>
          </w:tcPr>
          <w:p w14:paraId="7C7F4F66">
            <w:pPr>
              <w:pStyle w:val="44"/>
              <w:spacing w:after="0"/>
              <w:rPr>
                <w:rFonts w:cs="Times New Roman"/>
              </w:rPr>
            </w:pPr>
            <w:r>
              <w:rPr>
                <w:rFonts w:cs="Times New Roman"/>
              </w:rPr>
              <w:t>[75]</w:t>
            </w:r>
          </w:p>
        </w:tc>
        <w:tc>
          <w:tcPr>
            <w:tcW w:w="2004" w:type="dxa"/>
            <w:shd w:val="clear" w:color="auto" w:fill="FFFFFF"/>
            <w:vAlign w:val="center"/>
          </w:tcPr>
          <w:p w14:paraId="2D2B6A4D">
            <w:pPr>
              <w:pStyle w:val="44"/>
              <w:spacing w:after="0"/>
              <w:rPr>
                <w:rFonts w:cs="Times New Roman"/>
              </w:rPr>
            </w:pPr>
            <w:r>
              <w:rPr>
                <w:rFonts w:cs="Times New Roman"/>
              </w:rPr>
              <w:t>[160]</w:t>
            </w:r>
          </w:p>
        </w:tc>
        <w:tc>
          <w:tcPr>
            <w:tcW w:w="1077" w:type="dxa"/>
            <w:shd w:val="clear" w:color="auto" w:fill="FFFFFF"/>
            <w:vAlign w:val="center"/>
          </w:tcPr>
          <w:p w14:paraId="16377ADA">
            <w:pPr>
              <w:pStyle w:val="44"/>
              <w:spacing w:after="0"/>
              <w:rPr>
                <w:rFonts w:cs="Times New Roman"/>
              </w:rPr>
            </w:pPr>
            <w:r>
              <w:rPr>
                <w:rFonts w:cs="Times New Roman"/>
              </w:rPr>
              <w:t>预期性</w:t>
            </w:r>
          </w:p>
        </w:tc>
      </w:tr>
      <w:tr w14:paraId="59D2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5CFDF75F">
            <w:pPr>
              <w:pStyle w:val="44"/>
              <w:spacing w:after="0"/>
              <w:rPr>
                <w:rFonts w:cs="Times New Roman"/>
              </w:rPr>
            </w:pPr>
          </w:p>
        </w:tc>
        <w:tc>
          <w:tcPr>
            <w:tcW w:w="4592" w:type="dxa"/>
            <w:shd w:val="clear" w:color="auto" w:fill="FFFFFF"/>
            <w:vAlign w:val="center"/>
          </w:tcPr>
          <w:p w14:paraId="5D841669">
            <w:pPr>
              <w:pStyle w:val="44"/>
              <w:spacing w:after="0"/>
              <w:rPr>
                <w:rFonts w:cs="Times New Roman"/>
                <w:szCs w:val="32"/>
              </w:rPr>
            </w:pPr>
            <w:r>
              <w:rPr>
                <w:rFonts w:hint="eastAsia" w:cs="Times New Roman"/>
                <w:szCs w:val="32"/>
              </w:rPr>
              <w:t>推进拆除新建类城中村改造</w:t>
            </w:r>
          </w:p>
        </w:tc>
        <w:tc>
          <w:tcPr>
            <w:tcW w:w="1337" w:type="dxa"/>
            <w:shd w:val="clear" w:color="auto" w:fill="FFFFFF"/>
            <w:vAlign w:val="center"/>
          </w:tcPr>
          <w:p w14:paraId="15F958E7">
            <w:pPr>
              <w:pStyle w:val="44"/>
              <w:spacing w:after="0"/>
              <w:rPr>
                <w:rFonts w:cs="Times New Roman"/>
              </w:rPr>
            </w:pPr>
            <w:r>
              <w:rPr>
                <w:rFonts w:hint="eastAsia" w:cs="Times New Roman"/>
              </w:rPr>
              <w:t>个</w:t>
            </w:r>
          </w:p>
        </w:tc>
        <w:tc>
          <w:tcPr>
            <w:tcW w:w="2005" w:type="dxa"/>
            <w:shd w:val="clear" w:color="auto" w:fill="FFFFFF"/>
            <w:vAlign w:val="center"/>
          </w:tcPr>
          <w:p w14:paraId="5DA644A0">
            <w:pPr>
              <w:pStyle w:val="44"/>
              <w:spacing w:after="0"/>
              <w:rPr>
                <w:rFonts w:cs="Times New Roman"/>
                <w:color w:val="EE0000"/>
              </w:rPr>
            </w:pPr>
            <w:r>
              <w:rPr>
                <w:rFonts w:cs="Times New Roman"/>
              </w:rPr>
              <w:t>[8]</w:t>
            </w:r>
          </w:p>
        </w:tc>
        <w:tc>
          <w:tcPr>
            <w:tcW w:w="2004" w:type="dxa"/>
            <w:shd w:val="clear" w:color="auto" w:fill="FFFFFF"/>
            <w:vAlign w:val="center"/>
          </w:tcPr>
          <w:p w14:paraId="72EE3CF4">
            <w:pPr>
              <w:pStyle w:val="44"/>
              <w:spacing w:after="0"/>
              <w:rPr>
                <w:rFonts w:cs="Times New Roman"/>
              </w:rPr>
            </w:pPr>
            <w:r>
              <w:rPr>
                <w:rFonts w:cs="Times New Roman"/>
              </w:rPr>
              <w:t>[</w:t>
            </w:r>
            <w:r>
              <w:rPr>
                <w:rFonts w:cs="Times New Roman"/>
                <w:highlight w:val="none"/>
              </w:rPr>
              <w:t>12</w:t>
            </w:r>
            <w:r>
              <w:rPr>
                <w:rFonts w:cs="Times New Roman"/>
              </w:rPr>
              <w:t>]</w:t>
            </w:r>
            <w:r>
              <w:rPr>
                <w:rStyle w:val="35"/>
                <w:rFonts w:cs="Times New Roman"/>
                <w:highlight w:val="none"/>
              </w:rPr>
              <w:footnoteReference w:id="1"/>
            </w:r>
          </w:p>
        </w:tc>
        <w:tc>
          <w:tcPr>
            <w:tcW w:w="1077" w:type="dxa"/>
            <w:shd w:val="clear" w:color="auto" w:fill="FFFFFF"/>
            <w:vAlign w:val="center"/>
          </w:tcPr>
          <w:p w14:paraId="2FFF625A">
            <w:pPr>
              <w:pStyle w:val="44"/>
              <w:spacing w:after="0"/>
              <w:rPr>
                <w:rFonts w:cs="Times New Roman"/>
              </w:rPr>
            </w:pPr>
            <w:r>
              <w:rPr>
                <w:rFonts w:hint="eastAsia" w:cs="Times New Roman"/>
              </w:rPr>
              <w:t>预期性</w:t>
            </w:r>
          </w:p>
        </w:tc>
      </w:tr>
      <w:tr w14:paraId="01F0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3E3844D1">
            <w:pPr>
              <w:pStyle w:val="44"/>
              <w:spacing w:after="0"/>
              <w:rPr>
                <w:rFonts w:cs="Times New Roman"/>
              </w:rPr>
            </w:pPr>
          </w:p>
        </w:tc>
        <w:tc>
          <w:tcPr>
            <w:tcW w:w="4592" w:type="dxa"/>
            <w:tcBorders>
              <w:bottom w:val="single" w:color="auto" w:sz="2" w:space="0"/>
            </w:tcBorders>
            <w:shd w:val="clear" w:color="auto" w:fill="FFFFFF"/>
            <w:vAlign w:val="center"/>
          </w:tcPr>
          <w:p w14:paraId="15987251">
            <w:pPr>
              <w:pStyle w:val="44"/>
              <w:spacing w:after="0"/>
              <w:rPr>
                <w:rFonts w:cs="Times New Roman"/>
              </w:rPr>
            </w:pPr>
            <w:r>
              <w:rPr>
                <w:rFonts w:cs="Times New Roman"/>
              </w:rPr>
              <w:t>完成危旧房改造</w:t>
            </w:r>
          </w:p>
        </w:tc>
        <w:tc>
          <w:tcPr>
            <w:tcW w:w="1337" w:type="dxa"/>
            <w:tcBorders>
              <w:bottom w:val="single" w:color="auto" w:sz="2" w:space="0"/>
            </w:tcBorders>
            <w:shd w:val="clear" w:color="auto" w:fill="FFFFFF"/>
            <w:vAlign w:val="center"/>
          </w:tcPr>
          <w:p w14:paraId="36FCAC39">
            <w:pPr>
              <w:pStyle w:val="44"/>
              <w:spacing w:after="0"/>
              <w:rPr>
                <w:rFonts w:cs="Times New Roman"/>
              </w:rPr>
            </w:pPr>
            <w:r>
              <w:rPr>
                <w:rFonts w:cs="Times New Roman"/>
              </w:rPr>
              <w:t>套/间</w:t>
            </w:r>
          </w:p>
        </w:tc>
        <w:tc>
          <w:tcPr>
            <w:tcW w:w="2005" w:type="dxa"/>
            <w:tcBorders>
              <w:bottom w:val="single" w:color="auto" w:sz="2" w:space="0"/>
            </w:tcBorders>
            <w:shd w:val="clear" w:color="auto" w:fill="FFFFFF"/>
            <w:vAlign w:val="center"/>
          </w:tcPr>
          <w:p w14:paraId="289FB835">
            <w:pPr>
              <w:pStyle w:val="44"/>
              <w:spacing w:after="0"/>
              <w:rPr>
                <w:rFonts w:cs="Times New Roman"/>
              </w:rPr>
            </w:pPr>
            <w:r>
              <w:rPr>
                <w:rFonts w:cs="Times New Roman"/>
              </w:rPr>
              <w:t>[124]</w:t>
            </w:r>
          </w:p>
        </w:tc>
        <w:tc>
          <w:tcPr>
            <w:tcW w:w="2004" w:type="dxa"/>
            <w:tcBorders>
              <w:bottom w:val="single" w:color="auto" w:sz="2" w:space="0"/>
            </w:tcBorders>
            <w:shd w:val="clear" w:color="auto" w:fill="FFFFFF"/>
            <w:vAlign w:val="center"/>
          </w:tcPr>
          <w:p w14:paraId="2CBE0F62">
            <w:pPr>
              <w:pStyle w:val="44"/>
              <w:spacing w:after="0"/>
              <w:rPr>
                <w:rFonts w:cs="Times New Roman"/>
              </w:rPr>
            </w:pPr>
            <w:r>
              <w:rPr>
                <w:rFonts w:cs="Times New Roman"/>
              </w:rPr>
              <w:t>[2000]</w:t>
            </w:r>
          </w:p>
        </w:tc>
        <w:tc>
          <w:tcPr>
            <w:tcW w:w="1077" w:type="dxa"/>
            <w:tcBorders>
              <w:bottom w:val="single" w:color="auto" w:sz="2" w:space="0"/>
            </w:tcBorders>
            <w:shd w:val="clear" w:color="auto" w:fill="FFFFFF"/>
            <w:vAlign w:val="center"/>
          </w:tcPr>
          <w:p w14:paraId="71D83EE8">
            <w:pPr>
              <w:pStyle w:val="44"/>
              <w:spacing w:after="0"/>
              <w:rPr>
                <w:rFonts w:cs="Times New Roman"/>
              </w:rPr>
            </w:pPr>
            <w:r>
              <w:rPr>
                <w:rFonts w:cs="Times New Roman"/>
              </w:rPr>
              <w:t>预期性</w:t>
            </w:r>
          </w:p>
        </w:tc>
      </w:tr>
      <w:tr w14:paraId="57F5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6930F663">
            <w:pPr>
              <w:pStyle w:val="44"/>
              <w:spacing w:after="0"/>
              <w:rPr>
                <w:rFonts w:cs="Times New Roman"/>
              </w:rPr>
            </w:pPr>
          </w:p>
        </w:tc>
        <w:tc>
          <w:tcPr>
            <w:tcW w:w="4592" w:type="dxa"/>
            <w:shd w:val="clear" w:color="auto" w:fill="FFFFFF"/>
            <w:vAlign w:val="center"/>
          </w:tcPr>
          <w:p w14:paraId="04FCF25F">
            <w:pPr>
              <w:pStyle w:val="44"/>
              <w:spacing w:after="0"/>
              <w:rPr>
                <w:rFonts w:cs="Times New Roman"/>
              </w:rPr>
            </w:pPr>
            <w:bookmarkStart w:id="115" w:name="_Hlk214527789"/>
            <w:r>
              <w:rPr>
                <w:rFonts w:cs="Times New Roman"/>
              </w:rPr>
              <w:t>住宅小区物业服务覆盖率</w:t>
            </w:r>
            <w:bookmarkEnd w:id="115"/>
            <w:r>
              <w:rPr>
                <w:rStyle w:val="35"/>
                <w:rFonts w:cs="Times New Roman"/>
              </w:rPr>
              <w:footnoteReference w:id="2"/>
            </w:r>
          </w:p>
        </w:tc>
        <w:tc>
          <w:tcPr>
            <w:tcW w:w="1337" w:type="dxa"/>
            <w:shd w:val="clear" w:color="auto" w:fill="FFFFFF"/>
            <w:vAlign w:val="center"/>
          </w:tcPr>
          <w:p w14:paraId="0299FB44">
            <w:pPr>
              <w:pStyle w:val="44"/>
              <w:spacing w:after="0"/>
              <w:rPr>
                <w:rFonts w:cs="Times New Roman"/>
              </w:rPr>
            </w:pPr>
            <w:r>
              <w:rPr>
                <w:rFonts w:cs="Times New Roman"/>
              </w:rPr>
              <w:t>%</w:t>
            </w:r>
          </w:p>
        </w:tc>
        <w:tc>
          <w:tcPr>
            <w:tcW w:w="2005" w:type="dxa"/>
            <w:shd w:val="clear" w:color="auto" w:fill="FFFFFF"/>
            <w:vAlign w:val="center"/>
          </w:tcPr>
          <w:p w14:paraId="01D5F2BF">
            <w:pPr>
              <w:pStyle w:val="44"/>
              <w:spacing w:after="0"/>
              <w:rPr>
                <w:rFonts w:cs="Times New Roman"/>
              </w:rPr>
            </w:pPr>
            <w:r>
              <w:rPr>
                <w:rFonts w:cs="Times New Roman"/>
              </w:rPr>
              <w:t>—</w:t>
            </w:r>
          </w:p>
        </w:tc>
        <w:tc>
          <w:tcPr>
            <w:tcW w:w="2004" w:type="dxa"/>
            <w:shd w:val="clear" w:color="auto" w:fill="FFFFFF"/>
            <w:vAlign w:val="center"/>
          </w:tcPr>
          <w:p w14:paraId="7EC8F91C">
            <w:pPr>
              <w:pStyle w:val="44"/>
              <w:spacing w:after="0"/>
              <w:rPr>
                <w:rFonts w:cs="Times New Roman"/>
              </w:rPr>
            </w:pPr>
            <w:r>
              <w:rPr>
                <w:rFonts w:cs="Times New Roman"/>
              </w:rPr>
              <w:t>85</w:t>
            </w:r>
          </w:p>
        </w:tc>
        <w:tc>
          <w:tcPr>
            <w:tcW w:w="1077" w:type="dxa"/>
            <w:shd w:val="clear" w:color="auto" w:fill="FFFFFF"/>
            <w:vAlign w:val="center"/>
          </w:tcPr>
          <w:p w14:paraId="364F0197">
            <w:pPr>
              <w:pStyle w:val="44"/>
              <w:spacing w:after="0"/>
              <w:rPr>
                <w:rFonts w:cs="Times New Roman"/>
              </w:rPr>
            </w:pPr>
            <w:r>
              <w:rPr>
                <w:rFonts w:cs="Times New Roman"/>
              </w:rPr>
              <w:t>预期性</w:t>
            </w:r>
          </w:p>
        </w:tc>
      </w:tr>
      <w:tr w14:paraId="76524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64EEC986">
            <w:pPr>
              <w:pStyle w:val="44"/>
              <w:spacing w:after="0"/>
              <w:rPr>
                <w:rFonts w:cs="Times New Roman"/>
              </w:rPr>
            </w:pPr>
          </w:p>
        </w:tc>
        <w:tc>
          <w:tcPr>
            <w:tcW w:w="4592" w:type="dxa"/>
            <w:shd w:val="clear" w:color="auto" w:fill="FFFFFF"/>
            <w:vAlign w:val="center"/>
          </w:tcPr>
          <w:p w14:paraId="0D19F3DE">
            <w:pPr>
              <w:pStyle w:val="44"/>
              <w:spacing w:after="0"/>
              <w:rPr>
                <w:rFonts w:cs="Times New Roman"/>
              </w:rPr>
            </w:pPr>
            <w:bookmarkStart w:id="116" w:name="_Hlk214527805"/>
            <w:r>
              <w:rPr>
                <w:rFonts w:cs="Times New Roman"/>
              </w:rPr>
              <w:t>城市未来社区（完整社区）</w:t>
            </w:r>
            <w:bookmarkEnd w:id="116"/>
            <w:r>
              <w:rPr>
                <w:rFonts w:cs="Times New Roman"/>
              </w:rPr>
              <w:t>个数</w:t>
            </w:r>
          </w:p>
        </w:tc>
        <w:tc>
          <w:tcPr>
            <w:tcW w:w="1337" w:type="dxa"/>
            <w:shd w:val="clear" w:color="auto" w:fill="FFFFFF"/>
            <w:vAlign w:val="center"/>
          </w:tcPr>
          <w:p w14:paraId="13A1B74F">
            <w:pPr>
              <w:pStyle w:val="44"/>
              <w:spacing w:after="0"/>
              <w:rPr>
                <w:rFonts w:cs="Times New Roman"/>
              </w:rPr>
            </w:pPr>
            <w:r>
              <w:rPr>
                <w:rFonts w:cs="Times New Roman"/>
              </w:rPr>
              <w:t>个</w:t>
            </w:r>
          </w:p>
        </w:tc>
        <w:tc>
          <w:tcPr>
            <w:tcW w:w="2005" w:type="dxa"/>
            <w:shd w:val="clear" w:color="auto" w:fill="FFFFFF"/>
            <w:vAlign w:val="center"/>
          </w:tcPr>
          <w:p w14:paraId="6A577CC2">
            <w:pPr>
              <w:pStyle w:val="44"/>
              <w:spacing w:after="0"/>
              <w:rPr>
                <w:rFonts w:cs="Times New Roman"/>
              </w:rPr>
            </w:pPr>
            <w:r>
              <w:rPr>
                <w:rFonts w:cs="Times New Roman"/>
              </w:rPr>
              <w:t>[3]</w:t>
            </w:r>
          </w:p>
        </w:tc>
        <w:tc>
          <w:tcPr>
            <w:tcW w:w="2004" w:type="dxa"/>
            <w:shd w:val="clear" w:color="auto" w:fill="FFFFFF"/>
            <w:vAlign w:val="center"/>
          </w:tcPr>
          <w:p w14:paraId="5CFE54E6">
            <w:pPr>
              <w:pStyle w:val="44"/>
              <w:spacing w:after="0"/>
              <w:rPr>
                <w:rFonts w:cs="Times New Roman"/>
              </w:rPr>
            </w:pPr>
            <w:r>
              <w:rPr>
                <w:rFonts w:cs="Times New Roman"/>
              </w:rPr>
              <w:t>[10]</w:t>
            </w:r>
          </w:p>
        </w:tc>
        <w:tc>
          <w:tcPr>
            <w:tcW w:w="1077" w:type="dxa"/>
            <w:shd w:val="clear" w:color="auto" w:fill="FFFFFF"/>
            <w:vAlign w:val="center"/>
          </w:tcPr>
          <w:p w14:paraId="2234D2C1">
            <w:pPr>
              <w:pStyle w:val="44"/>
              <w:spacing w:after="0"/>
              <w:rPr>
                <w:rFonts w:cs="Times New Roman"/>
              </w:rPr>
            </w:pPr>
            <w:r>
              <w:rPr>
                <w:rFonts w:cs="Times New Roman"/>
              </w:rPr>
              <w:t>预期性</w:t>
            </w:r>
          </w:p>
        </w:tc>
      </w:tr>
      <w:tr w14:paraId="67C0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1ED03E37">
            <w:pPr>
              <w:pStyle w:val="44"/>
              <w:spacing w:after="0"/>
              <w:rPr>
                <w:rFonts w:cs="Times New Roman"/>
              </w:rPr>
            </w:pPr>
          </w:p>
        </w:tc>
        <w:tc>
          <w:tcPr>
            <w:tcW w:w="4592" w:type="dxa"/>
            <w:shd w:val="clear" w:color="auto" w:fill="FFFFFF"/>
            <w:vAlign w:val="center"/>
          </w:tcPr>
          <w:p w14:paraId="4FB706F1">
            <w:pPr>
              <w:pStyle w:val="44"/>
              <w:spacing w:after="0"/>
              <w:rPr>
                <w:rFonts w:cs="Times New Roman"/>
              </w:rPr>
            </w:pPr>
            <w:r>
              <w:rPr>
                <w:rFonts w:cs="Times New Roman"/>
              </w:rPr>
              <w:t>新建居住建筑中星级以上绿色建筑占比</w:t>
            </w:r>
          </w:p>
        </w:tc>
        <w:tc>
          <w:tcPr>
            <w:tcW w:w="1337" w:type="dxa"/>
            <w:shd w:val="clear" w:color="auto" w:fill="FFFFFF"/>
            <w:vAlign w:val="center"/>
          </w:tcPr>
          <w:p w14:paraId="296C1C85">
            <w:pPr>
              <w:pStyle w:val="44"/>
              <w:spacing w:after="0"/>
              <w:rPr>
                <w:rFonts w:cs="Times New Roman"/>
              </w:rPr>
            </w:pPr>
            <w:r>
              <w:rPr>
                <w:rFonts w:cs="Times New Roman"/>
              </w:rPr>
              <w:t>%</w:t>
            </w:r>
          </w:p>
        </w:tc>
        <w:tc>
          <w:tcPr>
            <w:tcW w:w="2005" w:type="dxa"/>
            <w:shd w:val="clear" w:color="auto" w:fill="FFFFFF"/>
            <w:vAlign w:val="center"/>
          </w:tcPr>
          <w:p w14:paraId="5E5EC0BD">
            <w:pPr>
              <w:pStyle w:val="44"/>
              <w:spacing w:after="0"/>
              <w:rPr>
                <w:rFonts w:cs="Times New Roman"/>
              </w:rPr>
            </w:pPr>
            <w:r>
              <w:rPr>
                <w:rFonts w:cs="Times New Roman"/>
              </w:rPr>
              <w:t>77</w:t>
            </w:r>
          </w:p>
        </w:tc>
        <w:tc>
          <w:tcPr>
            <w:tcW w:w="2004" w:type="dxa"/>
            <w:shd w:val="clear" w:color="auto" w:fill="FFFFFF"/>
            <w:vAlign w:val="center"/>
          </w:tcPr>
          <w:p w14:paraId="149481EE">
            <w:pPr>
              <w:pStyle w:val="44"/>
              <w:spacing w:after="0"/>
              <w:rPr>
                <w:rFonts w:cs="Times New Roman"/>
              </w:rPr>
            </w:pPr>
            <w:r>
              <w:rPr>
                <w:rFonts w:cs="Times New Roman"/>
              </w:rPr>
              <w:t>80</w:t>
            </w:r>
          </w:p>
        </w:tc>
        <w:tc>
          <w:tcPr>
            <w:tcW w:w="1077" w:type="dxa"/>
            <w:shd w:val="clear" w:color="auto" w:fill="FFFFFF"/>
            <w:vAlign w:val="center"/>
          </w:tcPr>
          <w:p w14:paraId="55B93528">
            <w:pPr>
              <w:pStyle w:val="44"/>
              <w:spacing w:after="0"/>
              <w:rPr>
                <w:rFonts w:cs="Times New Roman"/>
              </w:rPr>
            </w:pPr>
            <w:r>
              <w:rPr>
                <w:rFonts w:cs="Times New Roman"/>
              </w:rPr>
              <w:t>预期性</w:t>
            </w:r>
          </w:p>
        </w:tc>
      </w:tr>
      <w:tr w14:paraId="666E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02E123EB">
            <w:pPr>
              <w:pStyle w:val="44"/>
              <w:spacing w:after="0"/>
              <w:rPr>
                <w:rFonts w:cs="Times New Roman"/>
              </w:rPr>
            </w:pPr>
          </w:p>
        </w:tc>
        <w:tc>
          <w:tcPr>
            <w:tcW w:w="4592" w:type="dxa"/>
            <w:shd w:val="clear" w:color="auto" w:fill="FFFFFF"/>
            <w:vAlign w:val="center"/>
          </w:tcPr>
          <w:p w14:paraId="2785023B">
            <w:pPr>
              <w:pStyle w:val="44"/>
              <w:spacing w:after="0"/>
              <w:rPr>
                <w:rFonts w:cs="Times New Roman"/>
              </w:rPr>
            </w:pPr>
            <w:r>
              <w:rPr>
                <w:rFonts w:cs="Times New Roman"/>
              </w:rPr>
              <w:t>新建居住建筑中装配式建筑占比</w:t>
            </w:r>
          </w:p>
        </w:tc>
        <w:tc>
          <w:tcPr>
            <w:tcW w:w="1337" w:type="dxa"/>
            <w:shd w:val="clear" w:color="auto" w:fill="FFFFFF"/>
            <w:vAlign w:val="center"/>
          </w:tcPr>
          <w:p w14:paraId="5BB9E0E4">
            <w:pPr>
              <w:pStyle w:val="44"/>
              <w:spacing w:after="0"/>
              <w:rPr>
                <w:rFonts w:cs="Times New Roman"/>
              </w:rPr>
            </w:pPr>
            <w:r>
              <w:rPr>
                <w:rFonts w:cs="Times New Roman"/>
              </w:rPr>
              <w:t>%</w:t>
            </w:r>
          </w:p>
        </w:tc>
        <w:tc>
          <w:tcPr>
            <w:tcW w:w="2005" w:type="dxa"/>
            <w:shd w:val="clear" w:color="auto" w:fill="FFFFFF"/>
            <w:vAlign w:val="center"/>
          </w:tcPr>
          <w:p w14:paraId="1033A87D">
            <w:pPr>
              <w:pStyle w:val="44"/>
              <w:spacing w:after="0"/>
              <w:rPr>
                <w:rFonts w:cs="Times New Roman"/>
              </w:rPr>
            </w:pPr>
            <w:r>
              <w:rPr>
                <w:rFonts w:cs="Times New Roman"/>
              </w:rPr>
              <w:t>55</w:t>
            </w:r>
          </w:p>
        </w:tc>
        <w:tc>
          <w:tcPr>
            <w:tcW w:w="2004" w:type="dxa"/>
            <w:shd w:val="clear" w:color="auto" w:fill="FFFFFF"/>
            <w:vAlign w:val="center"/>
          </w:tcPr>
          <w:p w14:paraId="1ED40AC8">
            <w:pPr>
              <w:pStyle w:val="44"/>
              <w:spacing w:after="0"/>
              <w:rPr>
                <w:rFonts w:cs="Times New Roman"/>
              </w:rPr>
            </w:pPr>
            <w:r>
              <w:rPr>
                <w:rFonts w:cs="Times New Roman"/>
              </w:rPr>
              <w:t>60</w:t>
            </w:r>
          </w:p>
        </w:tc>
        <w:tc>
          <w:tcPr>
            <w:tcW w:w="1077" w:type="dxa"/>
            <w:shd w:val="clear" w:color="auto" w:fill="FFFFFF"/>
            <w:vAlign w:val="center"/>
          </w:tcPr>
          <w:p w14:paraId="446058DD">
            <w:pPr>
              <w:pStyle w:val="44"/>
              <w:spacing w:after="0"/>
              <w:rPr>
                <w:rFonts w:cs="Times New Roman"/>
              </w:rPr>
            </w:pPr>
            <w:r>
              <w:rPr>
                <w:rFonts w:cs="Times New Roman"/>
              </w:rPr>
              <w:t>预期性</w:t>
            </w:r>
          </w:p>
        </w:tc>
      </w:tr>
      <w:tr w14:paraId="7F07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4" w:hRule="atLeast"/>
          <w:jc w:val="center"/>
        </w:trPr>
        <w:tc>
          <w:tcPr>
            <w:tcW w:w="1757" w:type="dxa"/>
            <w:vMerge w:val="continue"/>
            <w:shd w:val="clear" w:color="auto" w:fill="FFFFFF"/>
            <w:vAlign w:val="center"/>
          </w:tcPr>
          <w:p w14:paraId="738D4AD8">
            <w:pPr>
              <w:pStyle w:val="44"/>
              <w:spacing w:after="0"/>
              <w:rPr>
                <w:rFonts w:cs="Times New Roman"/>
              </w:rPr>
            </w:pPr>
          </w:p>
        </w:tc>
        <w:tc>
          <w:tcPr>
            <w:tcW w:w="4592" w:type="dxa"/>
            <w:shd w:val="clear" w:color="auto" w:fill="FFFFFF"/>
            <w:vAlign w:val="center"/>
          </w:tcPr>
          <w:p w14:paraId="6447A04F">
            <w:pPr>
              <w:pStyle w:val="44"/>
              <w:spacing w:after="0"/>
              <w:rPr>
                <w:rFonts w:cs="Times New Roman"/>
              </w:rPr>
            </w:pPr>
            <w:r>
              <w:rPr>
                <w:rFonts w:hint="eastAsia" w:cs="Times New Roman"/>
              </w:rPr>
              <w:t>城镇房屋基础信息数字化率</w:t>
            </w:r>
          </w:p>
        </w:tc>
        <w:tc>
          <w:tcPr>
            <w:tcW w:w="1337" w:type="dxa"/>
            <w:shd w:val="clear" w:color="auto" w:fill="FFFFFF"/>
            <w:vAlign w:val="center"/>
          </w:tcPr>
          <w:p w14:paraId="31FB6219">
            <w:pPr>
              <w:pStyle w:val="44"/>
              <w:spacing w:after="0"/>
              <w:rPr>
                <w:rFonts w:cs="Times New Roman"/>
              </w:rPr>
            </w:pPr>
            <w:r>
              <w:rPr>
                <w:rFonts w:hint="eastAsia" w:cs="Times New Roman"/>
              </w:rPr>
              <w:t>%</w:t>
            </w:r>
          </w:p>
        </w:tc>
        <w:tc>
          <w:tcPr>
            <w:tcW w:w="2005" w:type="dxa"/>
            <w:shd w:val="clear" w:color="auto" w:fill="FFFFFF"/>
            <w:vAlign w:val="center"/>
          </w:tcPr>
          <w:p w14:paraId="0379513E">
            <w:pPr>
              <w:pStyle w:val="44"/>
              <w:spacing w:after="0"/>
              <w:rPr>
                <w:rFonts w:cs="Times New Roman"/>
              </w:rPr>
            </w:pPr>
            <w:r>
              <w:rPr>
                <w:rFonts w:hint="eastAsia" w:cs="Times New Roman"/>
              </w:rPr>
              <w:t>—</w:t>
            </w:r>
          </w:p>
        </w:tc>
        <w:tc>
          <w:tcPr>
            <w:tcW w:w="2004" w:type="dxa"/>
            <w:shd w:val="clear" w:color="auto" w:fill="FFFFFF"/>
            <w:vAlign w:val="center"/>
          </w:tcPr>
          <w:p w14:paraId="5BCA362B">
            <w:pPr>
              <w:pStyle w:val="44"/>
              <w:spacing w:after="0"/>
              <w:rPr>
                <w:rFonts w:cs="Times New Roman"/>
              </w:rPr>
            </w:pPr>
            <w:r>
              <w:rPr>
                <w:rFonts w:hint="eastAsia" w:cs="Times New Roman"/>
              </w:rPr>
              <w:t>＞95</w:t>
            </w:r>
          </w:p>
        </w:tc>
        <w:tc>
          <w:tcPr>
            <w:tcW w:w="1077" w:type="dxa"/>
            <w:shd w:val="clear" w:color="auto" w:fill="FFFFFF"/>
            <w:vAlign w:val="center"/>
          </w:tcPr>
          <w:p w14:paraId="44B26EE3">
            <w:pPr>
              <w:pStyle w:val="44"/>
              <w:spacing w:after="0"/>
              <w:rPr>
                <w:rFonts w:cs="Times New Roman"/>
              </w:rPr>
            </w:pPr>
            <w:r>
              <w:rPr>
                <w:rFonts w:hint="eastAsia" w:cs="Times New Roman"/>
              </w:rPr>
              <w:t>预期性</w:t>
            </w:r>
          </w:p>
        </w:tc>
      </w:tr>
    </w:tbl>
    <w:p w14:paraId="66A6AF3B">
      <w:pPr>
        <w:widowControl/>
        <w:spacing w:line="240" w:lineRule="auto"/>
        <w:jc w:val="left"/>
        <w:textAlignment w:val="center"/>
        <w:rPr>
          <w:color w:val="000000"/>
          <w:kern w:val="0"/>
          <w:sz w:val="21"/>
          <w:szCs w:val="21"/>
        </w:rPr>
      </w:pPr>
      <w:r>
        <w:rPr>
          <w:rFonts w:hint="eastAsia"/>
          <w:color w:val="000000"/>
          <w:kern w:val="0"/>
          <w:sz w:val="21"/>
          <w:szCs w:val="21"/>
        </w:rPr>
        <w:t>注：[ ]为累计数。住房保障、城中村目标指标根据实际需求调整。</w:t>
      </w:r>
    </w:p>
    <w:bookmarkEnd w:id="112"/>
    <w:p w14:paraId="67BB3C44">
      <w:pPr>
        <w:pStyle w:val="41"/>
        <w:spacing w:after="0" w:line="360" w:lineRule="auto"/>
        <w:rPr>
          <w:rFonts w:cs="Times New Roman"/>
        </w:rPr>
      </w:pPr>
    </w:p>
    <w:p w14:paraId="0191C2F9">
      <w:pPr>
        <w:widowControl/>
        <w:spacing w:after="0" w:line="240" w:lineRule="auto"/>
        <w:jc w:val="left"/>
        <w:rPr>
          <w:rFonts w:eastAsia="黑体"/>
          <w:sz w:val="24"/>
        </w:rPr>
      </w:pPr>
      <w:r>
        <w:br w:type="page"/>
      </w:r>
    </w:p>
    <w:p w14:paraId="064696D2">
      <w:pPr>
        <w:pStyle w:val="41"/>
        <w:spacing w:after="0" w:line="360" w:lineRule="auto"/>
        <w:rPr>
          <w:rFonts w:cs="Times New Roman"/>
        </w:rPr>
      </w:pPr>
      <w:r>
        <w:rPr>
          <w:rFonts w:cs="Times New Roman"/>
        </w:rPr>
        <w:t>表</w:t>
      </w:r>
      <w:r>
        <w:rPr>
          <w:rFonts w:hint="eastAsia" w:cs="Times New Roman"/>
        </w:rPr>
        <w:t xml:space="preserve">3 </w:t>
      </w:r>
      <w:r>
        <w:rPr>
          <w:rFonts w:cs="Times New Roman"/>
        </w:rPr>
        <w:t>东莞市住房发展</w:t>
      </w:r>
      <w:r>
        <w:rPr>
          <w:rFonts w:ascii="黑体" w:hAnsi="黑体" w:cs="黑体"/>
        </w:rPr>
        <w:t>“</w:t>
      </w:r>
      <w:r>
        <w:rPr>
          <w:rFonts w:cs="Times New Roman"/>
        </w:rPr>
        <w:t>十五五</w:t>
      </w:r>
      <w:r>
        <w:rPr>
          <w:rFonts w:ascii="黑体" w:hAnsi="黑体" w:cs="黑体"/>
        </w:rPr>
        <w:t>”</w:t>
      </w:r>
      <w:r>
        <w:rPr>
          <w:rFonts w:cs="Times New Roman"/>
        </w:rPr>
        <w:t>规划年度目标一览表</w:t>
      </w:r>
    </w:p>
    <w:tbl>
      <w:tblPr>
        <w:tblStyle w:val="2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1"/>
        <w:gridCol w:w="2746"/>
        <w:gridCol w:w="2787"/>
        <w:gridCol w:w="2787"/>
        <w:gridCol w:w="2589"/>
      </w:tblGrid>
      <w:tr w14:paraId="413E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blHeader/>
        </w:trPr>
        <w:tc>
          <w:tcPr>
            <w:tcW w:w="2190" w:type="dxa"/>
            <w:vAlign w:val="center"/>
          </w:tcPr>
          <w:p w14:paraId="1F684B0D">
            <w:pPr>
              <w:pStyle w:val="39"/>
              <w:spacing w:after="0"/>
              <w:rPr>
                <w:b/>
                <w:bCs/>
                <w:color w:val="auto"/>
              </w:rPr>
            </w:pPr>
            <w:bookmarkStart w:id="117" w:name="_Hlk70539169"/>
            <w:r>
              <w:rPr>
                <w:b/>
                <w:bCs/>
                <w:color w:val="auto"/>
              </w:rPr>
              <w:t>分年</w:t>
            </w:r>
          </w:p>
        </w:tc>
        <w:tc>
          <w:tcPr>
            <w:tcW w:w="2954" w:type="dxa"/>
            <w:vAlign w:val="center"/>
          </w:tcPr>
          <w:p w14:paraId="1D4C9342">
            <w:pPr>
              <w:widowControl/>
              <w:spacing w:after="0" w:line="240" w:lineRule="auto"/>
              <w:jc w:val="center"/>
              <w:rPr>
                <w:b/>
                <w:bCs/>
                <w:kern w:val="0"/>
                <w:sz w:val="24"/>
                <w:szCs w:val="24"/>
              </w:rPr>
            </w:pPr>
            <w:r>
              <w:rPr>
                <w:b/>
                <w:bCs/>
                <w:kern w:val="0"/>
                <w:sz w:val="24"/>
                <w:szCs w:val="24"/>
              </w:rPr>
              <w:t>批准</w:t>
            </w:r>
            <w:r>
              <w:rPr>
                <w:rFonts w:hint="eastAsia"/>
                <w:b/>
                <w:bCs/>
                <w:kern w:val="0"/>
                <w:sz w:val="24"/>
                <w:szCs w:val="24"/>
                <w:lang w:eastAsia="zh-CN"/>
              </w:rPr>
              <w:t>销</w:t>
            </w:r>
            <w:r>
              <w:rPr>
                <w:b/>
                <w:bCs/>
                <w:kern w:val="0"/>
                <w:sz w:val="24"/>
                <w:szCs w:val="24"/>
              </w:rPr>
              <w:t>售</w:t>
            </w:r>
          </w:p>
          <w:p w14:paraId="6F5B622C">
            <w:pPr>
              <w:widowControl/>
              <w:spacing w:after="0" w:line="240" w:lineRule="auto"/>
              <w:jc w:val="center"/>
              <w:rPr>
                <w:b/>
                <w:bCs/>
                <w:kern w:val="0"/>
                <w:sz w:val="24"/>
                <w:szCs w:val="24"/>
              </w:rPr>
            </w:pPr>
            <w:r>
              <w:rPr>
                <w:b/>
                <w:bCs/>
                <w:kern w:val="0"/>
                <w:sz w:val="24"/>
                <w:szCs w:val="24"/>
              </w:rPr>
              <w:t>新建商品住房</w:t>
            </w:r>
          </w:p>
          <w:p w14:paraId="392B840A">
            <w:pPr>
              <w:pStyle w:val="39"/>
              <w:spacing w:after="0"/>
              <w:rPr>
                <w:b/>
                <w:bCs/>
                <w:color w:val="auto"/>
              </w:rPr>
            </w:pPr>
            <w:r>
              <w:rPr>
                <w:b/>
                <w:bCs/>
                <w:color w:val="auto"/>
                <w:szCs w:val="24"/>
              </w:rPr>
              <w:t>（万套）</w:t>
            </w:r>
          </w:p>
        </w:tc>
        <w:tc>
          <w:tcPr>
            <w:tcW w:w="2998" w:type="dxa"/>
            <w:vAlign w:val="center"/>
          </w:tcPr>
          <w:p w14:paraId="04155656">
            <w:pPr>
              <w:widowControl/>
              <w:spacing w:after="0" w:line="240" w:lineRule="auto"/>
              <w:jc w:val="center"/>
              <w:rPr>
                <w:b/>
                <w:bCs/>
                <w:kern w:val="0"/>
                <w:sz w:val="24"/>
                <w:szCs w:val="24"/>
              </w:rPr>
            </w:pPr>
            <w:r>
              <w:rPr>
                <w:b/>
                <w:bCs/>
                <w:kern w:val="0"/>
                <w:sz w:val="24"/>
                <w:szCs w:val="24"/>
              </w:rPr>
              <w:t>住房保障货币补贴</w:t>
            </w:r>
          </w:p>
          <w:p w14:paraId="27A1EDF1">
            <w:pPr>
              <w:pStyle w:val="39"/>
              <w:spacing w:after="0"/>
              <w:rPr>
                <w:b/>
                <w:bCs/>
                <w:color w:val="auto"/>
              </w:rPr>
            </w:pPr>
            <w:r>
              <w:rPr>
                <w:b/>
                <w:bCs/>
                <w:color w:val="auto"/>
                <w:szCs w:val="24"/>
              </w:rPr>
              <w:t>年均发放（户）</w:t>
            </w:r>
          </w:p>
        </w:tc>
        <w:tc>
          <w:tcPr>
            <w:tcW w:w="2998" w:type="dxa"/>
            <w:vAlign w:val="center"/>
          </w:tcPr>
          <w:p w14:paraId="49D0A94E">
            <w:pPr>
              <w:widowControl/>
              <w:spacing w:after="0" w:line="240" w:lineRule="auto"/>
              <w:jc w:val="center"/>
              <w:rPr>
                <w:b/>
                <w:bCs/>
                <w:kern w:val="0"/>
                <w:sz w:val="24"/>
                <w:szCs w:val="24"/>
              </w:rPr>
            </w:pPr>
            <w:r>
              <w:rPr>
                <w:b/>
                <w:bCs/>
                <w:kern w:val="0"/>
                <w:sz w:val="24"/>
                <w:szCs w:val="24"/>
              </w:rPr>
              <w:t>新增建设筹集</w:t>
            </w:r>
          </w:p>
          <w:p w14:paraId="1D9A30DD">
            <w:pPr>
              <w:widowControl/>
              <w:spacing w:after="0" w:line="240" w:lineRule="auto"/>
              <w:jc w:val="center"/>
              <w:rPr>
                <w:b/>
                <w:bCs/>
                <w:kern w:val="0"/>
                <w:sz w:val="24"/>
                <w:szCs w:val="24"/>
              </w:rPr>
            </w:pPr>
            <w:r>
              <w:rPr>
                <w:b/>
                <w:bCs/>
                <w:kern w:val="0"/>
                <w:sz w:val="24"/>
                <w:szCs w:val="24"/>
              </w:rPr>
              <w:t>保障性租赁住房</w:t>
            </w:r>
          </w:p>
          <w:p w14:paraId="0E3F5BD1">
            <w:pPr>
              <w:pStyle w:val="39"/>
              <w:spacing w:after="0"/>
              <w:rPr>
                <w:b/>
                <w:bCs/>
                <w:color w:val="auto"/>
              </w:rPr>
            </w:pPr>
            <w:r>
              <w:rPr>
                <w:b/>
                <w:bCs/>
                <w:color w:val="auto"/>
                <w:szCs w:val="24"/>
              </w:rPr>
              <w:t>（套/间）</w:t>
            </w:r>
          </w:p>
        </w:tc>
        <w:tc>
          <w:tcPr>
            <w:tcW w:w="2784" w:type="dxa"/>
            <w:vAlign w:val="center"/>
          </w:tcPr>
          <w:p w14:paraId="22191687">
            <w:pPr>
              <w:widowControl/>
              <w:spacing w:after="0" w:line="240" w:lineRule="auto"/>
              <w:jc w:val="center"/>
              <w:rPr>
                <w:b/>
                <w:bCs/>
                <w:kern w:val="0"/>
                <w:sz w:val="24"/>
                <w:szCs w:val="24"/>
              </w:rPr>
            </w:pPr>
            <w:r>
              <w:rPr>
                <w:b/>
                <w:bCs/>
                <w:kern w:val="0"/>
                <w:sz w:val="24"/>
                <w:szCs w:val="24"/>
              </w:rPr>
              <w:t>新增建设筹集</w:t>
            </w:r>
          </w:p>
          <w:p w14:paraId="38CC34EA">
            <w:pPr>
              <w:widowControl/>
              <w:spacing w:after="0" w:line="240" w:lineRule="auto"/>
              <w:jc w:val="center"/>
              <w:rPr>
                <w:b/>
                <w:bCs/>
                <w:kern w:val="0"/>
                <w:sz w:val="24"/>
                <w:szCs w:val="24"/>
              </w:rPr>
            </w:pPr>
            <w:r>
              <w:rPr>
                <w:b/>
                <w:bCs/>
                <w:kern w:val="0"/>
                <w:sz w:val="24"/>
                <w:szCs w:val="24"/>
              </w:rPr>
              <w:t>配售型保障性住房</w:t>
            </w:r>
          </w:p>
          <w:p w14:paraId="4B7EE527">
            <w:pPr>
              <w:pStyle w:val="39"/>
              <w:spacing w:after="0"/>
              <w:rPr>
                <w:b/>
                <w:bCs/>
                <w:color w:val="auto"/>
              </w:rPr>
            </w:pPr>
            <w:r>
              <w:rPr>
                <w:b/>
                <w:bCs/>
                <w:color w:val="auto"/>
                <w:szCs w:val="24"/>
              </w:rPr>
              <w:t>（套）</w:t>
            </w:r>
          </w:p>
        </w:tc>
      </w:tr>
      <w:tr w14:paraId="2F40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2D849DDD">
            <w:pPr>
              <w:pStyle w:val="39"/>
              <w:spacing w:after="0"/>
              <w:rPr>
                <w:color w:val="auto"/>
              </w:rPr>
            </w:pPr>
            <w:r>
              <w:rPr>
                <w:color w:val="auto"/>
              </w:rPr>
              <w:t>2026年</w:t>
            </w:r>
          </w:p>
        </w:tc>
        <w:tc>
          <w:tcPr>
            <w:tcW w:w="2954" w:type="dxa"/>
            <w:vAlign w:val="center"/>
          </w:tcPr>
          <w:p w14:paraId="45C7AB0A">
            <w:pPr>
              <w:pStyle w:val="39"/>
              <w:spacing w:after="0"/>
              <w:rPr>
                <w:color w:val="auto"/>
              </w:rPr>
            </w:pPr>
            <w:r>
              <w:rPr>
                <w:color w:val="auto"/>
              </w:rPr>
              <w:t>1</w:t>
            </w:r>
          </w:p>
        </w:tc>
        <w:tc>
          <w:tcPr>
            <w:tcW w:w="2998" w:type="dxa"/>
            <w:vAlign w:val="center"/>
          </w:tcPr>
          <w:p w14:paraId="7F417A7A">
            <w:pPr>
              <w:pStyle w:val="39"/>
              <w:spacing w:after="0"/>
              <w:rPr>
                <w:color w:val="auto"/>
              </w:rPr>
            </w:pPr>
            <w:r>
              <w:rPr>
                <w:color w:val="auto"/>
              </w:rPr>
              <w:t>4000</w:t>
            </w:r>
          </w:p>
        </w:tc>
        <w:tc>
          <w:tcPr>
            <w:tcW w:w="2998" w:type="dxa"/>
            <w:vAlign w:val="center"/>
          </w:tcPr>
          <w:p w14:paraId="7416107D">
            <w:pPr>
              <w:pStyle w:val="39"/>
              <w:spacing w:after="0"/>
              <w:rPr>
                <w:color w:val="auto"/>
              </w:rPr>
            </w:pPr>
            <w:r>
              <w:rPr>
                <w:color w:val="auto"/>
              </w:rPr>
              <w:t>3000</w:t>
            </w:r>
          </w:p>
        </w:tc>
        <w:tc>
          <w:tcPr>
            <w:tcW w:w="2784" w:type="dxa"/>
            <w:vAlign w:val="center"/>
          </w:tcPr>
          <w:p w14:paraId="1C8BC96B">
            <w:pPr>
              <w:pStyle w:val="39"/>
              <w:spacing w:after="0"/>
              <w:rPr>
                <w:color w:val="auto"/>
              </w:rPr>
            </w:pPr>
            <w:r>
              <w:rPr>
                <w:rFonts w:eastAsia="等线"/>
              </w:rPr>
              <w:t>500</w:t>
            </w:r>
          </w:p>
        </w:tc>
      </w:tr>
      <w:tr w14:paraId="3D73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1C744E78">
            <w:pPr>
              <w:pStyle w:val="39"/>
              <w:spacing w:after="0"/>
              <w:rPr>
                <w:color w:val="auto"/>
              </w:rPr>
            </w:pPr>
            <w:r>
              <w:rPr>
                <w:color w:val="auto"/>
              </w:rPr>
              <w:t>2027年</w:t>
            </w:r>
          </w:p>
        </w:tc>
        <w:tc>
          <w:tcPr>
            <w:tcW w:w="2954" w:type="dxa"/>
            <w:vAlign w:val="center"/>
          </w:tcPr>
          <w:p w14:paraId="77FC0400">
            <w:pPr>
              <w:pStyle w:val="39"/>
              <w:spacing w:after="0"/>
              <w:rPr>
                <w:color w:val="auto"/>
              </w:rPr>
            </w:pPr>
            <w:r>
              <w:rPr>
                <w:color w:val="auto"/>
              </w:rPr>
              <w:t>1.2</w:t>
            </w:r>
          </w:p>
        </w:tc>
        <w:tc>
          <w:tcPr>
            <w:tcW w:w="2998" w:type="dxa"/>
            <w:vAlign w:val="center"/>
          </w:tcPr>
          <w:p w14:paraId="193B0F95">
            <w:pPr>
              <w:pStyle w:val="39"/>
              <w:spacing w:after="0"/>
              <w:rPr>
                <w:color w:val="auto"/>
              </w:rPr>
            </w:pPr>
            <w:r>
              <w:rPr>
                <w:color w:val="auto"/>
              </w:rPr>
              <w:t>4000</w:t>
            </w:r>
          </w:p>
        </w:tc>
        <w:tc>
          <w:tcPr>
            <w:tcW w:w="2998" w:type="dxa"/>
            <w:vAlign w:val="center"/>
          </w:tcPr>
          <w:p w14:paraId="48EEAE1F">
            <w:pPr>
              <w:pStyle w:val="39"/>
              <w:spacing w:after="0"/>
              <w:rPr>
                <w:color w:val="auto"/>
              </w:rPr>
            </w:pPr>
            <w:r>
              <w:rPr>
                <w:color w:val="auto"/>
              </w:rPr>
              <w:t>3000</w:t>
            </w:r>
          </w:p>
        </w:tc>
        <w:tc>
          <w:tcPr>
            <w:tcW w:w="2784" w:type="dxa"/>
            <w:vAlign w:val="center"/>
          </w:tcPr>
          <w:p w14:paraId="7489D150">
            <w:pPr>
              <w:pStyle w:val="39"/>
              <w:spacing w:after="0"/>
              <w:rPr>
                <w:color w:val="auto"/>
              </w:rPr>
            </w:pPr>
            <w:r>
              <w:rPr>
                <w:rFonts w:eastAsia="等线"/>
              </w:rPr>
              <w:t>500</w:t>
            </w:r>
          </w:p>
        </w:tc>
      </w:tr>
      <w:tr w14:paraId="3102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620A64B5">
            <w:pPr>
              <w:pStyle w:val="39"/>
              <w:spacing w:after="0"/>
              <w:rPr>
                <w:color w:val="auto"/>
              </w:rPr>
            </w:pPr>
            <w:r>
              <w:rPr>
                <w:color w:val="auto"/>
              </w:rPr>
              <w:t>2028年</w:t>
            </w:r>
          </w:p>
        </w:tc>
        <w:tc>
          <w:tcPr>
            <w:tcW w:w="2954" w:type="dxa"/>
            <w:vAlign w:val="center"/>
          </w:tcPr>
          <w:p w14:paraId="23A7F28C">
            <w:pPr>
              <w:pStyle w:val="39"/>
              <w:spacing w:after="0"/>
              <w:rPr>
                <w:color w:val="auto"/>
              </w:rPr>
            </w:pPr>
            <w:r>
              <w:rPr>
                <w:color w:val="auto"/>
              </w:rPr>
              <w:t>1.6</w:t>
            </w:r>
          </w:p>
        </w:tc>
        <w:tc>
          <w:tcPr>
            <w:tcW w:w="2998" w:type="dxa"/>
            <w:vAlign w:val="center"/>
          </w:tcPr>
          <w:p w14:paraId="69692F93">
            <w:pPr>
              <w:pStyle w:val="39"/>
              <w:spacing w:after="0"/>
              <w:rPr>
                <w:color w:val="auto"/>
              </w:rPr>
            </w:pPr>
            <w:r>
              <w:rPr>
                <w:color w:val="auto"/>
              </w:rPr>
              <w:t>4000</w:t>
            </w:r>
          </w:p>
        </w:tc>
        <w:tc>
          <w:tcPr>
            <w:tcW w:w="2998" w:type="dxa"/>
            <w:vAlign w:val="center"/>
          </w:tcPr>
          <w:p w14:paraId="06C6098E">
            <w:pPr>
              <w:pStyle w:val="39"/>
              <w:spacing w:after="0"/>
              <w:rPr>
                <w:color w:val="auto"/>
              </w:rPr>
            </w:pPr>
            <w:r>
              <w:rPr>
                <w:color w:val="auto"/>
              </w:rPr>
              <w:t>3000</w:t>
            </w:r>
          </w:p>
        </w:tc>
        <w:tc>
          <w:tcPr>
            <w:tcW w:w="2784" w:type="dxa"/>
            <w:vAlign w:val="center"/>
          </w:tcPr>
          <w:p w14:paraId="31F24A46">
            <w:pPr>
              <w:pStyle w:val="39"/>
              <w:spacing w:after="0"/>
              <w:rPr>
                <w:color w:val="auto"/>
              </w:rPr>
            </w:pPr>
            <w:r>
              <w:rPr>
                <w:rFonts w:eastAsia="等线"/>
              </w:rPr>
              <w:t>500</w:t>
            </w:r>
          </w:p>
        </w:tc>
      </w:tr>
      <w:tr w14:paraId="1BC2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6D1137B4">
            <w:pPr>
              <w:pStyle w:val="39"/>
              <w:spacing w:after="0"/>
              <w:rPr>
                <w:color w:val="auto"/>
              </w:rPr>
            </w:pPr>
            <w:r>
              <w:rPr>
                <w:color w:val="auto"/>
              </w:rPr>
              <w:t>2029年</w:t>
            </w:r>
          </w:p>
        </w:tc>
        <w:tc>
          <w:tcPr>
            <w:tcW w:w="2954" w:type="dxa"/>
            <w:vAlign w:val="center"/>
          </w:tcPr>
          <w:p w14:paraId="4BF5B02C">
            <w:pPr>
              <w:pStyle w:val="39"/>
              <w:spacing w:after="0"/>
              <w:rPr>
                <w:color w:val="auto"/>
              </w:rPr>
            </w:pPr>
            <w:r>
              <w:rPr>
                <w:color w:val="auto"/>
              </w:rPr>
              <w:t>2.4</w:t>
            </w:r>
          </w:p>
        </w:tc>
        <w:tc>
          <w:tcPr>
            <w:tcW w:w="2998" w:type="dxa"/>
            <w:vAlign w:val="center"/>
          </w:tcPr>
          <w:p w14:paraId="2704E7F1">
            <w:pPr>
              <w:pStyle w:val="39"/>
              <w:spacing w:after="0"/>
              <w:rPr>
                <w:color w:val="auto"/>
              </w:rPr>
            </w:pPr>
            <w:r>
              <w:rPr>
                <w:color w:val="auto"/>
              </w:rPr>
              <w:t>4000</w:t>
            </w:r>
          </w:p>
        </w:tc>
        <w:tc>
          <w:tcPr>
            <w:tcW w:w="2998" w:type="dxa"/>
            <w:vAlign w:val="center"/>
          </w:tcPr>
          <w:p w14:paraId="258F3DE4">
            <w:pPr>
              <w:pStyle w:val="39"/>
              <w:spacing w:after="0"/>
              <w:rPr>
                <w:color w:val="auto"/>
              </w:rPr>
            </w:pPr>
            <w:r>
              <w:rPr>
                <w:color w:val="auto"/>
              </w:rPr>
              <w:t>3000</w:t>
            </w:r>
          </w:p>
        </w:tc>
        <w:tc>
          <w:tcPr>
            <w:tcW w:w="2784" w:type="dxa"/>
            <w:vAlign w:val="center"/>
          </w:tcPr>
          <w:p w14:paraId="0F836B2C">
            <w:pPr>
              <w:pStyle w:val="39"/>
              <w:spacing w:after="0"/>
              <w:rPr>
                <w:color w:val="auto"/>
              </w:rPr>
            </w:pPr>
            <w:r>
              <w:rPr>
                <w:rFonts w:eastAsia="等线"/>
              </w:rPr>
              <w:t>500</w:t>
            </w:r>
          </w:p>
        </w:tc>
      </w:tr>
      <w:tr w14:paraId="2036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46B58B0E">
            <w:pPr>
              <w:pStyle w:val="39"/>
              <w:spacing w:after="0"/>
              <w:rPr>
                <w:color w:val="auto"/>
              </w:rPr>
            </w:pPr>
            <w:r>
              <w:rPr>
                <w:color w:val="auto"/>
              </w:rPr>
              <w:t>2030年</w:t>
            </w:r>
          </w:p>
        </w:tc>
        <w:tc>
          <w:tcPr>
            <w:tcW w:w="2954" w:type="dxa"/>
            <w:vAlign w:val="center"/>
          </w:tcPr>
          <w:p w14:paraId="4EE87298">
            <w:pPr>
              <w:pStyle w:val="39"/>
              <w:spacing w:after="0"/>
              <w:rPr>
                <w:color w:val="auto"/>
              </w:rPr>
            </w:pPr>
            <w:r>
              <w:rPr>
                <w:color w:val="auto"/>
              </w:rPr>
              <w:t>3.8</w:t>
            </w:r>
          </w:p>
        </w:tc>
        <w:tc>
          <w:tcPr>
            <w:tcW w:w="2998" w:type="dxa"/>
            <w:vAlign w:val="center"/>
          </w:tcPr>
          <w:p w14:paraId="2779D885">
            <w:pPr>
              <w:pStyle w:val="39"/>
              <w:spacing w:after="0"/>
              <w:rPr>
                <w:color w:val="auto"/>
              </w:rPr>
            </w:pPr>
            <w:r>
              <w:rPr>
                <w:color w:val="auto"/>
              </w:rPr>
              <w:t>4000</w:t>
            </w:r>
          </w:p>
        </w:tc>
        <w:tc>
          <w:tcPr>
            <w:tcW w:w="2998" w:type="dxa"/>
            <w:vAlign w:val="center"/>
          </w:tcPr>
          <w:p w14:paraId="41D34A5F">
            <w:pPr>
              <w:pStyle w:val="39"/>
              <w:spacing w:after="0"/>
              <w:rPr>
                <w:color w:val="auto"/>
              </w:rPr>
            </w:pPr>
            <w:r>
              <w:rPr>
                <w:color w:val="auto"/>
              </w:rPr>
              <w:t>3000</w:t>
            </w:r>
          </w:p>
        </w:tc>
        <w:tc>
          <w:tcPr>
            <w:tcW w:w="2784" w:type="dxa"/>
            <w:vAlign w:val="center"/>
          </w:tcPr>
          <w:p w14:paraId="23CFDF80">
            <w:pPr>
              <w:pStyle w:val="39"/>
              <w:spacing w:after="0"/>
              <w:rPr>
                <w:color w:val="auto"/>
              </w:rPr>
            </w:pPr>
            <w:r>
              <w:rPr>
                <w:rFonts w:eastAsia="等线"/>
              </w:rPr>
              <w:t>500</w:t>
            </w:r>
          </w:p>
        </w:tc>
      </w:tr>
      <w:tr w14:paraId="2BCB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90" w:type="dxa"/>
            <w:vAlign w:val="center"/>
          </w:tcPr>
          <w:p w14:paraId="7BCB4E01">
            <w:pPr>
              <w:pStyle w:val="39"/>
              <w:spacing w:after="0"/>
              <w:rPr>
                <w:b/>
                <w:bCs/>
                <w:color w:val="auto"/>
              </w:rPr>
            </w:pPr>
            <w:r>
              <w:rPr>
                <w:b/>
                <w:bCs/>
                <w:color w:val="auto"/>
              </w:rPr>
              <w:t>合计</w:t>
            </w:r>
          </w:p>
        </w:tc>
        <w:tc>
          <w:tcPr>
            <w:tcW w:w="2954" w:type="dxa"/>
            <w:vAlign w:val="center"/>
          </w:tcPr>
          <w:p w14:paraId="7505760D">
            <w:pPr>
              <w:pStyle w:val="39"/>
              <w:spacing w:after="0"/>
              <w:rPr>
                <w:b/>
                <w:bCs/>
                <w:color w:val="auto"/>
              </w:rPr>
            </w:pPr>
            <w:r>
              <w:rPr>
                <w:b/>
                <w:bCs/>
                <w:color w:val="auto"/>
              </w:rPr>
              <w:t>10</w:t>
            </w:r>
          </w:p>
        </w:tc>
        <w:tc>
          <w:tcPr>
            <w:tcW w:w="2998" w:type="dxa"/>
            <w:vAlign w:val="center"/>
          </w:tcPr>
          <w:p w14:paraId="298C9083">
            <w:pPr>
              <w:pStyle w:val="39"/>
              <w:spacing w:after="0"/>
              <w:rPr>
                <w:b/>
                <w:bCs/>
                <w:color w:val="auto"/>
              </w:rPr>
            </w:pPr>
            <w:r>
              <w:rPr>
                <w:b/>
                <w:bCs/>
                <w:color w:val="auto"/>
              </w:rPr>
              <w:t>4000（年均）</w:t>
            </w:r>
          </w:p>
        </w:tc>
        <w:tc>
          <w:tcPr>
            <w:tcW w:w="2998" w:type="dxa"/>
            <w:vAlign w:val="center"/>
          </w:tcPr>
          <w:p w14:paraId="6B357EAA">
            <w:pPr>
              <w:pStyle w:val="39"/>
              <w:spacing w:after="0"/>
              <w:rPr>
                <w:b/>
                <w:bCs/>
                <w:color w:val="auto"/>
              </w:rPr>
            </w:pPr>
            <w:r>
              <w:rPr>
                <w:b/>
                <w:bCs/>
                <w:color w:val="auto"/>
              </w:rPr>
              <w:t>15000</w:t>
            </w:r>
          </w:p>
        </w:tc>
        <w:tc>
          <w:tcPr>
            <w:tcW w:w="2784" w:type="dxa"/>
            <w:vAlign w:val="center"/>
          </w:tcPr>
          <w:p w14:paraId="2F095972">
            <w:pPr>
              <w:pStyle w:val="39"/>
              <w:spacing w:after="0"/>
              <w:rPr>
                <w:b/>
                <w:bCs/>
                <w:color w:val="auto"/>
              </w:rPr>
            </w:pPr>
            <w:r>
              <w:rPr>
                <w:rFonts w:eastAsia="等线"/>
                <w:b/>
                <w:bCs/>
              </w:rPr>
              <w:t>2500</w:t>
            </w:r>
          </w:p>
        </w:tc>
      </w:tr>
      <w:bookmarkEnd w:id="117"/>
    </w:tbl>
    <w:p w14:paraId="57E0495F">
      <w:pPr>
        <w:widowControl/>
        <w:spacing w:line="240" w:lineRule="auto"/>
        <w:jc w:val="left"/>
        <w:textAlignment w:val="center"/>
        <w:rPr>
          <w:color w:val="000000"/>
          <w:kern w:val="0"/>
          <w:sz w:val="21"/>
          <w:szCs w:val="21"/>
        </w:rPr>
      </w:pPr>
      <w:r>
        <w:rPr>
          <w:color w:val="000000"/>
          <w:kern w:val="0"/>
          <w:sz w:val="21"/>
          <w:szCs w:val="21"/>
        </w:rPr>
        <w:t>注：年度目标可根据实际需求调整。</w:t>
      </w:r>
    </w:p>
    <w:p w14:paraId="152B47FC">
      <w:pPr>
        <w:widowControl/>
        <w:spacing w:after="0" w:line="240" w:lineRule="auto"/>
        <w:jc w:val="left"/>
        <w:rPr>
          <w:rFonts w:eastAsia="黑体"/>
          <w:sz w:val="24"/>
        </w:rPr>
      </w:pPr>
      <w:r>
        <w:br w:type="page"/>
      </w:r>
    </w:p>
    <w:p w14:paraId="17585B98">
      <w:pPr>
        <w:pStyle w:val="41"/>
        <w:spacing w:after="0" w:line="360" w:lineRule="auto"/>
        <w:rPr>
          <w:rFonts w:cs="Times New Roman"/>
        </w:rPr>
      </w:pPr>
      <w:r>
        <w:rPr>
          <w:rFonts w:cs="Times New Roman"/>
        </w:rPr>
        <w:t>表</w:t>
      </w:r>
      <w:r>
        <w:rPr>
          <w:rFonts w:hint="eastAsia" w:cs="Times New Roman"/>
        </w:rPr>
        <w:t xml:space="preserve">4 </w:t>
      </w:r>
      <w:r>
        <w:rPr>
          <w:rFonts w:cs="Times New Roman"/>
        </w:rPr>
        <w:t>东莞市住房发展</w:t>
      </w:r>
      <w:r>
        <w:rPr>
          <w:rFonts w:ascii="黑体" w:hAnsi="黑体" w:cs="黑体"/>
        </w:rPr>
        <w:t>“</w:t>
      </w:r>
      <w:r>
        <w:rPr>
          <w:rFonts w:cs="Times New Roman"/>
        </w:rPr>
        <w:t>十五五</w:t>
      </w:r>
      <w:r>
        <w:rPr>
          <w:rFonts w:ascii="黑体" w:hAnsi="黑体" w:cs="黑体"/>
        </w:rPr>
        <w:t>”</w:t>
      </w:r>
      <w:r>
        <w:rPr>
          <w:rFonts w:cs="Times New Roman"/>
        </w:rPr>
        <w:t>规划目标分解表</w:t>
      </w:r>
    </w:p>
    <w:tbl>
      <w:tblPr>
        <w:tblStyle w:val="29"/>
        <w:tblW w:w="12750" w:type="dxa"/>
        <w:jc w:val="center"/>
        <w:shd w:val="clear" w:color="auto" w:fill="FFFFFF"/>
        <w:tblLayout w:type="fixed"/>
        <w:tblCellMar>
          <w:top w:w="0" w:type="dxa"/>
          <w:left w:w="108" w:type="dxa"/>
          <w:bottom w:w="0" w:type="dxa"/>
          <w:right w:w="108" w:type="dxa"/>
        </w:tblCellMar>
      </w:tblPr>
      <w:tblGrid>
        <w:gridCol w:w="1928"/>
        <w:gridCol w:w="3118"/>
        <w:gridCol w:w="3852"/>
        <w:gridCol w:w="3852"/>
      </w:tblGrid>
      <w:tr w14:paraId="76F0C6DF">
        <w:tblPrEx>
          <w:shd w:val="clear" w:color="auto" w:fill="FFFFFF"/>
          <w:tblCellMar>
            <w:top w:w="0" w:type="dxa"/>
            <w:left w:w="108" w:type="dxa"/>
            <w:bottom w:w="0" w:type="dxa"/>
            <w:right w:w="108" w:type="dxa"/>
          </w:tblCellMar>
        </w:tblPrEx>
        <w:trPr>
          <w:trHeight w:val="680" w:hRule="atLeast"/>
          <w:tblHeader/>
          <w:jc w:val="center"/>
        </w:trPr>
        <w:tc>
          <w:tcPr>
            <w:tcW w:w="1928" w:type="dxa"/>
            <w:tcBorders>
              <w:top w:val="single" w:color="auto" w:sz="4" w:space="0"/>
              <w:left w:val="single" w:color="auto" w:sz="4" w:space="0"/>
              <w:bottom w:val="single" w:color="auto" w:sz="4" w:space="0"/>
              <w:right w:val="single" w:color="auto" w:sz="4" w:space="0"/>
            </w:tcBorders>
            <w:shd w:val="clear" w:color="auto" w:fill="FFFFFF"/>
            <w:vAlign w:val="center"/>
          </w:tcPr>
          <w:p w14:paraId="772FD620">
            <w:pPr>
              <w:widowControl/>
              <w:spacing w:after="0" w:line="360" w:lineRule="exact"/>
              <w:jc w:val="center"/>
              <w:rPr>
                <w:b/>
                <w:bCs/>
                <w:kern w:val="0"/>
                <w:sz w:val="24"/>
                <w:szCs w:val="24"/>
              </w:rPr>
            </w:pPr>
            <w:r>
              <w:rPr>
                <w:b/>
                <w:bCs/>
                <w:kern w:val="0"/>
                <w:sz w:val="24"/>
                <w:szCs w:val="24"/>
              </w:rPr>
              <w:t>片区</w:t>
            </w:r>
          </w:p>
        </w:tc>
        <w:tc>
          <w:tcPr>
            <w:tcW w:w="3118" w:type="dxa"/>
            <w:tcBorders>
              <w:top w:val="single" w:color="auto" w:sz="4" w:space="0"/>
              <w:left w:val="nil"/>
              <w:bottom w:val="single" w:color="auto" w:sz="4" w:space="0"/>
              <w:right w:val="single" w:color="auto" w:sz="4" w:space="0"/>
            </w:tcBorders>
            <w:shd w:val="clear" w:color="auto" w:fill="FFFFFF"/>
            <w:vAlign w:val="center"/>
          </w:tcPr>
          <w:p w14:paraId="4BEF68A2">
            <w:pPr>
              <w:widowControl/>
              <w:spacing w:after="0" w:line="360" w:lineRule="exact"/>
              <w:jc w:val="center"/>
              <w:rPr>
                <w:b/>
                <w:bCs/>
                <w:kern w:val="0"/>
                <w:sz w:val="24"/>
                <w:szCs w:val="24"/>
              </w:rPr>
            </w:pPr>
            <w:r>
              <w:rPr>
                <w:b/>
                <w:bCs/>
                <w:kern w:val="0"/>
                <w:sz w:val="24"/>
                <w:szCs w:val="24"/>
              </w:rPr>
              <w:t>镇街（园区）</w:t>
            </w:r>
          </w:p>
        </w:tc>
        <w:tc>
          <w:tcPr>
            <w:tcW w:w="3852" w:type="dxa"/>
            <w:tcBorders>
              <w:top w:val="single" w:color="auto" w:sz="4" w:space="0"/>
              <w:left w:val="nil"/>
              <w:bottom w:val="single" w:color="auto" w:sz="4" w:space="0"/>
              <w:right w:val="single" w:color="auto" w:sz="4" w:space="0"/>
            </w:tcBorders>
            <w:shd w:val="clear" w:color="auto" w:fill="FFFFFF"/>
            <w:vAlign w:val="center"/>
          </w:tcPr>
          <w:p w14:paraId="22F2E524">
            <w:pPr>
              <w:widowControl/>
              <w:spacing w:after="0" w:line="360" w:lineRule="exact"/>
              <w:jc w:val="center"/>
              <w:rPr>
                <w:b/>
                <w:bCs/>
                <w:kern w:val="0"/>
                <w:sz w:val="24"/>
                <w:szCs w:val="24"/>
              </w:rPr>
            </w:pPr>
            <w:r>
              <w:rPr>
                <w:b/>
                <w:bCs/>
                <w:kern w:val="0"/>
                <w:sz w:val="24"/>
                <w:szCs w:val="24"/>
              </w:rPr>
              <w:t>批准</w:t>
            </w:r>
            <w:r>
              <w:rPr>
                <w:rFonts w:hint="eastAsia"/>
                <w:b/>
                <w:bCs/>
                <w:kern w:val="0"/>
                <w:sz w:val="24"/>
                <w:szCs w:val="24"/>
                <w:lang w:eastAsia="zh-CN"/>
              </w:rPr>
              <w:t>销</w:t>
            </w:r>
            <w:r>
              <w:rPr>
                <w:b/>
                <w:bCs/>
                <w:kern w:val="0"/>
                <w:sz w:val="24"/>
                <w:szCs w:val="24"/>
              </w:rPr>
              <w:t>售</w:t>
            </w:r>
          </w:p>
          <w:p w14:paraId="59929A59">
            <w:pPr>
              <w:widowControl/>
              <w:spacing w:after="0" w:line="360" w:lineRule="exact"/>
              <w:jc w:val="center"/>
              <w:rPr>
                <w:b/>
                <w:bCs/>
                <w:kern w:val="0"/>
                <w:sz w:val="24"/>
                <w:szCs w:val="24"/>
              </w:rPr>
            </w:pPr>
            <w:r>
              <w:rPr>
                <w:b/>
                <w:bCs/>
                <w:kern w:val="0"/>
                <w:sz w:val="24"/>
                <w:szCs w:val="24"/>
              </w:rPr>
              <w:t>新建商品住房（套）</w:t>
            </w:r>
          </w:p>
        </w:tc>
        <w:tc>
          <w:tcPr>
            <w:tcW w:w="3852" w:type="dxa"/>
            <w:tcBorders>
              <w:top w:val="single" w:color="auto" w:sz="4" w:space="0"/>
              <w:left w:val="nil"/>
              <w:bottom w:val="single" w:color="auto" w:sz="4" w:space="0"/>
              <w:right w:val="single" w:color="auto" w:sz="4" w:space="0"/>
            </w:tcBorders>
            <w:shd w:val="clear" w:color="auto" w:fill="FFFFFF"/>
            <w:vAlign w:val="center"/>
          </w:tcPr>
          <w:p w14:paraId="5C68B599">
            <w:pPr>
              <w:widowControl/>
              <w:spacing w:after="0" w:line="360" w:lineRule="exact"/>
              <w:jc w:val="center"/>
              <w:rPr>
                <w:b/>
                <w:bCs/>
                <w:kern w:val="0"/>
                <w:sz w:val="24"/>
                <w:szCs w:val="24"/>
              </w:rPr>
            </w:pPr>
            <w:r>
              <w:rPr>
                <w:b/>
                <w:bCs/>
                <w:kern w:val="0"/>
                <w:sz w:val="24"/>
                <w:szCs w:val="24"/>
              </w:rPr>
              <w:t>新增建设筹集</w:t>
            </w:r>
          </w:p>
          <w:p w14:paraId="681AAB73">
            <w:pPr>
              <w:widowControl/>
              <w:spacing w:after="0" w:line="360" w:lineRule="exact"/>
              <w:jc w:val="center"/>
              <w:rPr>
                <w:b/>
                <w:bCs/>
                <w:kern w:val="0"/>
                <w:sz w:val="24"/>
                <w:szCs w:val="24"/>
              </w:rPr>
            </w:pPr>
            <w:r>
              <w:rPr>
                <w:b/>
                <w:bCs/>
                <w:kern w:val="0"/>
                <w:sz w:val="24"/>
                <w:szCs w:val="24"/>
              </w:rPr>
              <w:t>保障性租赁住房（套/间）</w:t>
            </w:r>
          </w:p>
        </w:tc>
      </w:tr>
      <w:tr w14:paraId="1DB2565D">
        <w:tblPrEx>
          <w:tblCellMar>
            <w:top w:w="0" w:type="dxa"/>
            <w:left w:w="108" w:type="dxa"/>
            <w:bottom w:w="0" w:type="dxa"/>
            <w:right w:w="108" w:type="dxa"/>
          </w:tblCellMar>
        </w:tblPrEx>
        <w:trPr>
          <w:trHeight w:val="535"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6F4221CC">
            <w:pPr>
              <w:widowControl/>
              <w:spacing w:after="0" w:line="240" w:lineRule="auto"/>
              <w:jc w:val="center"/>
              <w:rPr>
                <w:kern w:val="0"/>
                <w:sz w:val="24"/>
                <w:szCs w:val="24"/>
              </w:rPr>
            </w:pPr>
            <w:r>
              <w:rPr>
                <w:kern w:val="0"/>
                <w:sz w:val="24"/>
                <w:szCs w:val="24"/>
              </w:rPr>
              <w:t>城区片区</w:t>
            </w:r>
          </w:p>
        </w:tc>
        <w:tc>
          <w:tcPr>
            <w:tcW w:w="3118" w:type="dxa"/>
            <w:tcBorders>
              <w:top w:val="nil"/>
              <w:left w:val="nil"/>
              <w:bottom w:val="single" w:color="auto" w:sz="4" w:space="0"/>
              <w:right w:val="single" w:color="auto" w:sz="4" w:space="0"/>
            </w:tcBorders>
            <w:shd w:val="clear" w:color="auto" w:fill="FFFFFF"/>
            <w:vAlign w:val="center"/>
          </w:tcPr>
          <w:p w14:paraId="34AF0A13">
            <w:pPr>
              <w:widowControl/>
              <w:spacing w:after="0" w:line="240" w:lineRule="auto"/>
              <w:jc w:val="center"/>
              <w:rPr>
                <w:kern w:val="0"/>
                <w:sz w:val="24"/>
                <w:szCs w:val="24"/>
              </w:rPr>
            </w:pPr>
            <w:r>
              <w:rPr>
                <w:kern w:val="0"/>
                <w:sz w:val="24"/>
                <w:szCs w:val="24"/>
              </w:rPr>
              <w:t>东城街道</w:t>
            </w:r>
          </w:p>
        </w:tc>
        <w:tc>
          <w:tcPr>
            <w:tcW w:w="3852" w:type="dxa"/>
            <w:tcBorders>
              <w:top w:val="nil"/>
              <w:left w:val="nil"/>
              <w:bottom w:val="single" w:color="auto" w:sz="4" w:space="0"/>
              <w:right w:val="single" w:color="auto" w:sz="4" w:space="0"/>
            </w:tcBorders>
            <w:shd w:val="clear" w:color="auto" w:fill="FFFFFF"/>
            <w:vAlign w:val="center"/>
          </w:tcPr>
          <w:p w14:paraId="47CA0E12">
            <w:pPr>
              <w:widowControl/>
              <w:spacing w:after="0" w:line="240" w:lineRule="auto"/>
              <w:jc w:val="center"/>
              <w:rPr>
                <w:sz w:val="24"/>
                <w:szCs w:val="24"/>
              </w:rPr>
            </w:pPr>
            <w:r>
              <w:rPr>
                <w:rFonts w:hint="eastAsia"/>
                <w:sz w:val="24"/>
                <w:szCs w:val="24"/>
              </w:rPr>
              <w:t xml:space="preserve">5700 </w:t>
            </w:r>
          </w:p>
        </w:tc>
        <w:tc>
          <w:tcPr>
            <w:tcW w:w="3852" w:type="dxa"/>
            <w:tcBorders>
              <w:top w:val="nil"/>
              <w:left w:val="nil"/>
              <w:bottom w:val="single" w:color="auto" w:sz="4" w:space="0"/>
              <w:right w:val="single" w:color="auto" w:sz="4" w:space="0"/>
            </w:tcBorders>
            <w:shd w:val="clear" w:color="auto" w:fill="FFFFFF"/>
            <w:vAlign w:val="center"/>
          </w:tcPr>
          <w:p w14:paraId="63705016">
            <w:pPr>
              <w:widowControl/>
              <w:spacing w:after="0" w:line="240" w:lineRule="auto"/>
              <w:jc w:val="center"/>
              <w:rPr>
                <w:kern w:val="0"/>
                <w:sz w:val="24"/>
                <w:szCs w:val="24"/>
              </w:rPr>
            </w:pPr>
            <w:r>
              <w:rPr>
                <w:sz w:val="24"/>
                <w:szCs w:val="24"/>
              </w:rPr>
              <w:t>300</w:t>
            </w:r>
          </w:p>
        </w:tc>
      </w:tr>
      <w:tr w14:paraId="57F9539D">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756019B">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53595044">
            <w:pPr>
              <w:widowControl/>
              <w:spacing w:after="0" w:line="240" w:lineRule="auto"/>
              <w:jc w:val="center"/>
              <w:rPr>
                <w:kern w:val="0"/>
                <w:sz w:val="24"/>
                <w:szCs w:val="24"/>
              </w:rPr>
            </w:pPr>
            <w:r>
              <w:rPr>
                <w:kern w:val="0"/>
                <w:sz w:val="24"/>
                <w:szCs w:val="24"/>
              </w:rPr>
              <w:t>南城街道</w:t>
            </w:r>
          </w:p>
        </w:tc>
        <w:tc>
          <w:tcPr>
            <w:tcW w:w="3852" w:type="dxa"/>
            <w:tcBorders>
              <w:top w:val="nil"/>
              <w:left w:val="nil"/>
              <w:bottom w:val="single" w:color="auto" w:sz="4" w:space="0"/>
              <w:right w:val="single" w:color="auto" w:sz="4" w:space="0"/>
            </w:tcBorders>
            <w:shd w:val="clear" w:color="auto" w:fill="FFFFFF"/>
            <w:vAlign w:val="center"/>
          </w:tcPr>
          <w:p w14:paraId="0FD24C15">
            <w:pPr>
              <w:widowControl/>
              <w:spacing w:after="0" w:line="240" w:lineRule="auto"/>
              <w:jc w:val="center"/>
              <w:rPr>
                <w:sz w:val="24"/>
                <w:szCs w:val="24"/>
              </w:rPr>
            </w:pPr>
            <w:r>
              <w:rPr>
                <w:rFonts w:hint="eastAsia"/>
                <w:sz w:val="24"/>
                <w:szCs w:val="24"/>
              </w:rPr>
              <w:t xml:space="preserve">6550 </w:t>
            </w:r>
          </w:p>
        </w:tc>
        <w:tc>
          <w:tcPr>
            <w:tcW w:w="3852" w:type="dxa"/>
            <w:tcBorders>
              <w:top w:val="nil"/>
              <w:left w:val="nil"/>
              <w:bottom w:val="single" w:color="auto" w:sz="4" w:space="0"/>
              <w:right w:val="single" w:color="auto" w:sz="4" w:space="0"/>
            </w:tcBorders>
            <w:shd w:val="clear" w:color="auto" w:fill="FFFFFF"/>
            <w:vAlign w:val="center"/>
          </w:tcPr>
          <w:p w14:paraId="678130AD">
            <w:pPr>
              <w:widowControl/>
              <w:spacing w:after="0" w:line="240" w:lineRule="auto"/>
              <w:jc w:val="center"/>
              <w:rPr>
                <w:kern w:val="0"/>
                <w:sz w:val="24"/>
                <w:szCs w:val="24"/>
              </w:rPr>
            </w:pPr>
            <w:r>
              <w:rPr>
                <w:sz w:val="24"/>
                <w:szCs w:val="24"/>
              </w:rPr>
              <w:t>300</w:t>
            </w:r>
          </w:p>
        </w:tc>
      </w:tr>
      <w:tr w14:paraId="3D3D31B5">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1175FE5">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76ED8A53">
            <w:pPr>
              <w:widowControl/>
              <w:spacing w:after="0" w:line="240" w:lineRule="auto"/>
              <w:jc w:val="center"/>
              <w:rPr>
                <w:kern w:val="0"/>
                <w:sz w:val="24"/>
                <w:szCs w:val="24"/>
              </w:rPr>
            </w:pPr>
            <w:r>
              <w:rPr>
                <w:kern w:val="0"/>
                <w:sz w:val="24"/>
                <w:szCs w:val="24"/>
              </w:rPr>
              <w:t>莞城街道</w:t>
            </w:r>
          </w:p>
        </w:tc>
        <w:tc>
          <w:tcPr>
            <w:tcW w:w="3852" w:type="dxa"/>
            <w:tcBorders>
              <w:top w:val="nil"/>
              <w:left w:val="nil"/>
              <w:bottom w:val="single" w:color="auto" w:sz="4" w:space="0"/>
              <w:right w:val="single" w:color="auto" w:sz="4" w:space="0"/>
            </w:tcBorders>
            <w:shd w:val="clear" w:color="auto" w:fill="FFFFFF"/>
            <w:vAlign w:val="center"/>
          </w:tcPr>
          <w:p w14:paraId="1356B17E">
            <w:pPr>
              <w:widowControl/>
              <w:spacing w:after="0" w:line="240" w:lineRule="auto"/>
              <w:jc w:val="center"/>
              <w:rPr>
                <w:sz w:val="24"/>
                <w:szCs w:val="24"/>
              </w:rPr>
            </w:pPr>
            <w:r>
              <w:rPr>
                <w:rFonts w:hint="eastAsia"/>
                <w:sz w:val="24"/>
                <w:szCs w:val="24"/>
              </w:rPr>
              <w:t xml:space="preserve">710 </w:t>
            </w:r>
          </w:p>
        </w:tc>
        <w:tc>
          <w:tcPr>
            <w:tcW w:w="3852" w:type="dxa"/>
            <w:tcBorders>
              <w:top w:val="nil"/>
              <w:left w:val="nil"/>
              <w:bottom w:val="single" w:color="auto" w:sz="4" w:space="0"/>
              <w:right w:val="single" w:color="auto" w:sz="4" w:space="0"/>
            </w:tcBorders>
            <w:shd w:val="clear" w:color="auto" w:fill="FFFFFF"/>
            <w:vAlign w:val="center"/>
          </w:tcPr>
          <w:p w14:paraId="1E0B2074">
            <w:pPr>
              <w:widowControl/>
              <w:spacing w:after="0" w:line="240" w:lineRule="auto"/>
              <w:jc w:val="center"/>
              <w:rPr>
                <w:kern w:val="0"/>
                <w:sz w:val="24"/>
                <w:szCs w:val="24"/>
              </w:rPr>
            </w:pPr>
            <w:r>
              <w:rPr>
                <w:sz w:val="24"/>
                <w:szCs w:val="24"/>
              </w:rPr>
              <w:t>0</w:t>
            </w:r>
          </w:p>
        </w:tc>
      </w:tr>
      <w:tr w14:paraId="3B9793A0">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4EA80E69">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387508AF">
            <w:pPr>
              <w:widowControl/>
              <w:spacing w:after="0" w:line="240" w:lineRule="auto"/>
              <w:jc w:val="center"/>
              <w:rPr>
                <w:kern w:val="0"/>
                <w:sz w:val="24"/>
                <w:szCs w:val="24"/>
              </w:rPr>
            </w:pPr>
            <w:r>
              <w:rPr>
                <w:kern w:val="0"/>
                <w:sz w:val="24"/>
                <w:szCs w:val="24"/>
              </w:rPr>
              <w:t>万江街道</w:t>
            </w:r>
          </w:p>
        </w:tc>
        <w:tc>
          <w:tcPr>
            <w:tcW w:w="3852" w:type="dxa"/>
            <w:tcBorders>
              <w:top w:val="nil"/>
              <w:left w:val="nil"/>
              <w:bottom w:val="single" w:color="auto" w:sz="4" w:space="0"/>
              <w:right w:val="single" w:color="auto" w:sz="4" w:space="0"/>
            </w:tcBorders>
            <w:shd w:val="clear" w:color="auto" w:fill="FFFFFF"/>
            <w:vAlign w:val="center"/>
          </w:tcPr>
          <w:p w14:paraId="4ECAB6A8">
            <w:pPr>
              <w:widowControl/>
              <w:spacing w:after="0" w:line="240" w:lineRule="auto"/>
              <w:jc w:val="center"/>
              <w:rPr>
                <w:sz w:val="24"/>
                <w:szCs w:val="24"/>
              </w:rPr>
            </w:pPr>
            <w:r>
              <w:rPr>
                <w:rFonts w:hint="eastAsia"/>
                <w:sz w:val="24"/>
                <w:szCs w:val="24"/>
              </w:rPr>
              <w:t xml:space="preserve">3950 </w:t>
            </w:r>
          </w:p>
        </w:tc>
        <w:tc>
          <w:tcPr>
            <w:tcW w:w="3852" w:type="dxa"/>
            <w:tcBorders>
              <w:top w:val="nil"/>
              <w:left w:val="nil"/>
              <w:bottom w:val="single" w:color="auto" w:sz="4" w:space="0"/>
              <w:right w:val="single" w:color="auto" w:sz="4" w:space="0"/>
            </w:tcBorders>
            <w:shd w:val="clear" w:color="auto" w:fill="FFFFFF"/>
            <w:vAlign w:val="center"/>
          </w:tcPr>
          <w:p w14:paraId="63979F6F">
            <w:pPr>
              <w:widowControl/>
              <w:spacing w:after="0" w:line="240" w:lineRule="auto"/>
              <w:jc w:val="center"/>
              <w:rPr>
                <w:kern w:val="0"/>
                <w:sz w:val="24"/>
                <w:szCs w:val="24"/>
              </w:rPr>
            </w:pPr>
            <w:r>
              <w:rPr>
                <w:kern w:val="0"/>
                <w:sz w:val="24"/>
                <w:szCs w:val="24"/>
              </w:rPr>
              <w:t>500</w:t>
            </w:r>
          </w:p>
        </w:tc>
      </w:tr>
      <w:tr w14:paraId="5BE95BF4">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68B2A28C">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2B813271">
            <w:pPr>
              <w:widowControl/>
              <w:spacing w:after="0" w:line="240" w:lineRule="auto"/>
              <w:jc w:val="center"/>
              <w:rPr>
                <w:kern w:val="0"/>
                <w:sz w:val="24"/>
                <w:szCs w:val="24"/>
              </w:rPr>
            </w:pPr>
            <w:r>
              <w:rPr>
                <w:kern w:val="0"/>
                <w:sz w:val="24"/>
                <w:szCs w:val="24"/>
              </w:rPr>
              <w:t>高</w:t>
            </w:r>
            <w:r>
              <w:rPr>
                <w:rFonts w:hint="eastAsia" w:ascii="仿宋" w:hAnsi="仿宋" w:eastAsia="仿宋" w:cs="仿宋"/>
                <w:kern w:val="0"/>
                <w:sz w:val="24"/>
                <w:szCs w:val="24"/>
              </w:rPr>
              <w:t>埗</w:t>
            </w:r>
            <w:r>
              <w:rPr>
                <w:kern w:val="0"/>
                <w:sz w:val="24"/>
                <w:szCs w:val="24"/>
              </w:rPr>
              <w:t>镇</w:t>
            </w:r>
          </w:p>
        </w:tc>
        <w:tc>
          <w:tcPr>
            <w:tcW w:w="3852" w:type="dxa"/>
            <w:tcBorders>
              <w:top w:val="nil"/>
              <w:left w:val="nil"/>
              <w:bottom w:val="single" w:color="auto" w:sz="4" w:space="0"/>
              <w:right w:val="single" w:color="auto" w:sz="4" w:space="0"/>
            </w:tcBorders>
            <w:shd w:val="clear" w:color="auto" w:fill="FFFFFF"/>
            <w:vAlign w:val="center"/>
          </w:tcPr>
          <w:p w14:paraId="7748B336">
            <w:pPr>
              <w:widowControl/>
              <w:spacing w:after="0" w:line="240" w:lineRule="auto"/>
              <w:jc w:val="center"/>
              <w:rPr>
                <w:sz w:val="24"/>
                <w:szCs w:val="24"/>
              </w:rPr>
            </w:pPr>
            <w:r>
              <w:rPr>
                <w:rFonts w:hint="eastAsia"/>
                <w:sz w:val="24"/>
                <w:szCs w:val="24"/>
              </w:rPr>
              <w:t xml:space="preserve">2430 </w:t>
            </w:r>
          </w:p>
        </w:tc>
        <w:tc>
          <w:tcPr>
            <w:tcW w:w="3852" w:type="dxa"/>
            <w:tcBorders>
              <w:top w:val="nil"/>
              <w:left w:val="nil"/>
              <w:bottom w:val="single" w:color="auto" w:sz="4" w:space="0"/>
              <w:right w:val="single" w:color="auto" w:sz="4" w:space="0"/>
            </w:tcBorders>
            <w:shd w:val="clear" w:color="auto" w:fill="FFFFFF"/>
            <w:vAlign w:val="center"/>
          </w:tcPr>
          <w:p w14:paraId="1C4E7518">
            <w:pPr>
              <w:widowControl/>
              <w:spacing w:after="0" w:line="240" w:lineRule="auto"/>
              <w:jc w:val="center"/>
              <w:rPr>
                <w:kern w:val="0"/>
                <w:sz w:val="24"/>
                <w:szCs w:val="24"/>
              </w:rPr>
            </w:pPr>
            <w:r>
              <w:rPr>
                <w:sz w:val="24"/>
                <w:szCs w:val="24"/>
              </w:rPr>
              <w:t>300</w:t>
            </w:r>
          </w:p>
        </w:tc>
      </w:tr>
      <w:tr w14:paraId="5032D59D">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B2A0528">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21E814E">
            <w:pPr>
              <w:widowControl/>
              <w:spacing w:after="0" w:line="240" w:lineRule="auto"/>
              <w:jc w:val="center"/>
              <w:rPr>
                <w:kern w:val="0"/>
                <w:sz w:val="24"/>
                <w:szCs w:val="24"/>
              </w:rPr>
            </w:pPr>
            <w:r>
              <w:rPr>
                <w:kern w:val="0"/>
                <w:sz w:val="24"/>
                <w:szCs w:val="24"/>
              </w:rPr>
              <w:t>石碣镇</w:t>
            </w:r>
          </w:p>
        </w:tc>
        <w:tc>
          <w:tcPr>
            <w:tcW w:w="3852" w:type="dxa"/>
            <w:tcBorders>
              <w:top w:val="nil"/>
              <w:left w:val="nil"/>
              <w:bottom w:val="single" w:color="auto" w:sz="4" w:space="0"/>
              <w:right w:val="single" w:color="auto" w:sz="4" w:space="0"/>
            </w:tcBorders>
            <w:shd w:val="clear" w:color="auto" w:fill="FFFFFF"/>
            <w:vAlign w:val="center"/>
          </w:tcPr>
          <w:p w14:paraId="75B68F68">
            <w:pPr>
              <w:widowControl/>
              <w:spacing w:after="0" w:line="240" w:lineRule="auto"/>
              <w:jc w:val="center"/>
              <w:rPr>
                <w:sz w:val="24"/>
                <w:szCs w:val="24"/>
              </w:rPr>
            </w:pPr>
            <w:r>
              <w:rPr>
                <w:rFonts w:hint="eastAsia"/>
                <w:sz w:val="24"/>
                <w:szCs w:val="24"/>
              </w:rPr>
              <w:t xml:space="preserve">2850 </w:t>
            </w:r>
          </w:p>
        </w:tc>
        <w:tc>
          <w:tcPr>
            <w:tcW w:w="3852" w:type="dxa"/>
            <w:tcBorders>
              <w:top w:val="nil"/>
              <w:left w:val="nil"/>
              <w:bottom w:val="single" w:color="auto" w:sz="4" w:space="0"/>
              <w:right w:val="single" w:color="auto" w:sz="4" w:space="0"/>
            </w:tcBorders>
            <w:shd w:val="clear" w:color="auto" w:fill="FFFFFF"/>
            <w:vAlign w:val="center"/>
          </w:tcPr>
          <w:p w14:paraId="02EFA04C">
            <w:pPr>
              <w:widowControl/>
              <w:spacing w:after="0" w:line="240" w:lineRule="auto"/>
              <w:jc w:val="center"/>
              <w:rPr>
                <w:kern w:val="0"/>
                <w:sz w:val="24"/>
                <w:szCs w:val="24"/>
              </w:rPr>
            </w:pPr>
            <w:r>
              <w:rPr>
                <w:sz w:val="24"/>
                <w:szCs w:val="24"/>
              </w:rPr>
              <w:t>300</w:t>
            </w:r>
          </w:p>
        </w:tc>
      </w:tr>
      <w:tr w14:paraId="07F8F2DB">
        <w:tblPrEx>
          <w:tblCellMar>
            <w:top w:w="0" w:type="dxa"/>
            <w:left w:w="108" w:type="dxa"/>
            <w:bottom w:w="0" w:type="dxa"/>
            <w:right w:w="108" w:type="dxa"/>
          </w:tblCellMar>
        </w:tblPrEx>
        <w:trPr>
          <w:trHeight w:val="491"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238A80AD">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6CA7E553">
            <w:pPr>
              <w:widowControl/>
              <w:spacing w:after="0" w:line="240" w:lineRule="auto"/>
              <w:jc w:val="center"/>
              <w:rPr>
                <w:kern w:val="0"/>
                <w:sz w:val="24"/>
                <w:szCs w:val="24"/>
              </w:rPr>
            </w:pPr>
            <w:r>
              <w:rPr>
                <w:kern w:val="0"/>
                <w:sz w:val="24"/>
                <w:szCs w:val="24"/>
              </w:rPr>
              <w:t>石龙镇</w:t>
            </w:r>
          </w:p>
        </w:tc>
        <w:tc>
          <w:tcPr>
            <w:tcW w:w="3852" w:type="dxa"/>
            <w:tcBorders>
              <w:top w:val="nil"/>
              <w:left w:val="nil"/>
              <w:bottom w:val="single" w:color="auto" w:sz="4" w:space="0"/>
              <w:right w:val="single" w:color="auto" w:sz="4" w:space="0"/>
            </w:tcBorders>
            <w:shd w:val="clear" w:color="auto" w:fill="FFFFFF"/>
            <w:vAlign w:val="center"/>
          </w:tcPr>
          <w:p w14:paraId="1F7C9231">
            <w:pPr>
              <w:widowControl/>
              <w:spacing w:after="0" w:line="240" w:lineRule="auto"/>
              <w:jc w:val="center"/>
              <w:rPr>
                <w:sz w:val="24"/>
                <w:szCs w:val="24"/>
              </w:rPr>
            </w:pPr>
            <w:r>
              <w:rPr>
                <w:rFonts w:hint="eastAsia"/>
                <w:sz w:val="24"/>
                <w:szCs w:val="24"/>
              </w:rPr>
              <w:t xml:space="preserve">1220 </w:t>
            </w:r>
          </w:p>
        </w:tc>
        <w:tc>
          <w:tcPr>
            <w:tcW w:w="3852" w:type="dxa"/>
            <w:tcBorders>
              <w:top w:val="nil"/>
              <w:left w:val="nil"/>
              <w:bottom w:val="single" w:color="auto" w:sz="4" w:space="0"/>
              <w:right w:val="single" w:color="auto" w:sz="4" w:space="0"/>
            </w:tcBorders>
            <w:shd w:val="clear" w:color="auto" w:fill="FFFFFF"/>
            <w:vAlign w:val="center"/>
          </w:tcPr>
          <w:p w14:paraId="7E47C850">
            <w:pPr>
              <w:widowControl/>
              <w:spacing w:after="0" w:line="240" w:lineRule="auto"/>
              <w:jc w:val="center"/>
              <w:rPr>
                <w:kern w:val="0"/>
                <w:sz w:val="24"/>
                <w:szCs w:val="24"/>
              </w:rPr>
            </w:pPr>
            <w:r>
              <w:rPr>
                <w:kern w:val="0"/>
                <w:sz w:val="24"/>
                <w:szCs w:val="24"/>
              </w:rPr>
              <w:t>300</w:t>
            </w:r>
          </w:p>
        </w:tc>
      </w:tr>
      <w:tr w14:paraId="7BCBC80A">
        <w:tblPrEx>
          <w:tblCellMar>
            <w:top w:w="0" w:type="dxa"/>
            <w:left w:w="108" w:type="dxa"/>
            <w:bottom w:w="0" w:type="dxa"/>
            <w:right w:w="108" w:type="dxa"/>
          </w:tblCellMar>
        </w:tblPrEx>
        <w:trPr>
          <w:trHeight w:val="247"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2A607498">
            <w:pPr>
              <w:widowControl/>
              <w:spacing w:after="0" w:line="240" w:lineRule="auto"/>
              <w:jc w:val="center"/>
              <w:rPr>
                <w:kern w:val="0"/>
                <w:sz w:val="24"/>
                <w:szCs w:val="24"/>
              </w:rPr>
            </w:pPr>
            <w:r>
              <w:rPr>
                <w:kern w:val="0"/>
                <w:sz w:val="24"/>
                <w:szCs w:val="24"/>
              </w:rPr>
              <w:t>松山湖片区</w:t>
            </w:r>
          </w:p>
        </w:tc>
        <w:tc>
          <w:tcPr>
            <w:tcW w:w="3118" w:type="dxa"/>
            <w:tcBorders>
              <w:top w:val="nil"/>
              <w:left w:val="nil"/>
              <w:bottom w:val="single" w:color="auto" w:sz="4" w:space="0"/>
              <w:right w:val="single" w:color="auto" w:sz="4" w:space="0"/>
            </w:tcBorders>
            <w:shd w:val="clear" w:color="auto" w:fill="FFFFFF"/>
            <w:vAlign w:val="center"/>
          </w:tcPr>
          <w:p w14:paraId="2CCCCF91">
            <w:pPr>
              <w:widowControl/>
              <w:spacing w:after="0" w:line="240" w:lineRule="auto"/>
              <w:jc w:val="center"/>
              <w:rPr>
                <w:kern w:val="0"/>
                <w:sz w:val="24"/>
                <w:szCs w:val="24"/>
              </w:rPr>
            </w:pPr>
            <w:r>
              <w:rPr>
                <w:kern w:val="0"/>
                <w:sz w:val="24"/>
                <w:szCs w:val="24"/>
              </w:rPr>
              <w:t>松山湖</w:t>
            </w:r>
          </w:p>
        </w:tc>
        <w:tc>
          <w:tcPr>
            <w:tcW w:w="3852" w:type="dxa"/>
            <w:tcBorders>
              <w:top w:val="nil"/>
              <w:left w:val="nil"/>
              <w:bottom w:val="single" w:color="auto" w:sz="4" w:space="0"/>
              <w:right w:val="single" w:color="auto" w:sz="4" w:space="0"/>
            </w:tcBorders>
            <w:shd w:val="clear" w:color="auto" w:fill="FFFFFF"/>
            <w:vAlign w:val="center"/>
          </w:tcPr>
          <w:p w14:paraId="3A3335F2">
            <w:pPr>
              <w:widowControl/>
              <w:spacing w:after="0" w:line="240" w:lineRule="auto"/>
              <w:jc w:val="center"/>
              <w:rPr>
                <w:sz w:val="24"/>
                <w:szCs w:val="24"/>
              </w:rPr>
            </w:pPr>
            <w:r>
              <w:rPr>
                <w:rFonts w:hint="eastAsia"/>
                <w:sz w:val="24"/>
                <w:szCs w:val="24"/>
              </w:rPr>
              <w:t xml:space="preserve">5450 </w:t>
            </w:r>
          </w:p>
        </w:tc>
        <w:tc>
          <w:tcPr>
            <w:tcW w:w="3852" w:type="dxa"/>
            <w:tcBorders>
              <w:top w:val="nil"/>
              <w:left w:val="nil"/>
              <w:bottom w:val="single" w:color="auto" w:sz="4" w:space="0"/>
              <w:right w:val="single" w:color="auto" w:sz="4" w:space="0"/>
            </w:tcBorders>
            <w:shd w:val="clear" w:color="auto" w:fill="FFFFFF"/>
            <w:vAlign w:val="center"/>
          </w:tcPr>
          <w:p w14:paraId="55373710">
            <w:pPr>
              <w:widowControl/>
              <w:spacing w:after="0" w:line="240" w:lineRule="auto"/>
              <w:jc w:val="center"/>
              <w:rPr>
                <w:kern w:val="0"/>
                <w:sz w:val="24"/>
                <w:szCs w:val="24"/>
              </w:rPr>
            </w:pPr>
            <w:r>
              <w:rPr>
                <w:sz w:val="24"/>
                <w:szCs w:val="24"/>
              </w:rPr>
              <w:t>500</w:t>
            </w:r>
          </w:p>
        </w:tc>
      </w:tr>
      <w:tr w14:paraId="740DADDB">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6A59CE2">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0BB56D12">
            <w:pPr>
              <w:widowControl/>
              <w:spacing w:after="0" w:line="240" w:lineRule="auto"/>
              <w:jc w:val="center"/>
              <w:rPr>
                <w:kern w:val="0"/>
                <w:sz w:val="24"/>
                <w:szCs w:val="24"/>
              </w:rPr>
            </w:pPr>
            <w:r>
              <w:rPr>
                <w:kern w:val="0"/>
                <w:sz w:val="24"/>
                <w:szCs w:val="24"/>
              </w:rPr>
              <w:t>寮步镇</w:t>
            </w:r>
          </w:p>
        </w:tc>
        <w:tc>
          <w:tcPr>
            <w:tcW w:w="3852" w:type="dxa"/>
            <w:tcBorders>
              <w:top w:val="nil"/>
              <w:left w:val="nil"/>
              <w:bottom w:val="single" w:color="auto" w:sz="4" w:space="0"/>
              <w:right w:val="single" w:color="auto" w:sz="4" w:space="0"/>
            </w:tcBorders>
            <w:shd w:val="clear" w:color="auto" w:fill="FFFFFF"/>
            <w:vAlign w:val="center"/>
          </w:tcPr>
          <w:p w14:paraId="533F1036">
            <w:pPr>
              <w:widowControl/>
              <w:spacing w:after="0" w:line="240" w:lineRule="auto"/>
              <w:jc w:val="center"/>
              <w:rPr>
                <w:sz w:val="24"/>
                <w:szCs w:val="24"/>
              </w:rPr>
            </w:pPr>
            <w:r>
              <w:rPr>
                <w:rFonts w:hint="eastAsia"/>
                <w:sz w:val="24"/>
                <w:szCs w:val="24"/>
              </w:rPr>
              <w:t xml:space="preserve">2930 </w:t>
            </w:r>
          </w:p>
        </w:tc>
        <w:tc>
          <w:tcPr>
            <w:tcW w:w="3852" w:type="dxa"/>
            <w:tcBorders>
              <w:top w:val="nil"/>
              <w:left w:val="nil"/>
              <w:bottom w:val="single" w:color="auto" w:sz="4" w:space="0"/>
              <w:right w:val="single" w:color="auto" w:sz="4" w:space="0"/>
            </w:tcBorders>
            <w:shd w:val="clear" w:color="auto" w:fill="FFFFFF"/>
            <w:vAlign w:val="center"/>
          </w:tcPr>
          <w:p w14:paraId="69F67144">
            <w:pPr>
              <w:widowControl/>
              <w:spacing w:after="0" w:line="240" w:lineRule="auto"/>
              <w:jc w:val="center"/>
              <w:rPr>
                <w:kern w:val="0"/>
                <w:sz w:val="24"/>
                <w:szCs w:val="24"/>
              </w:rPr>
            </w:pPr>
            <w:r>
              <w:rPr>
                <w:kern w:val="0"/>
                <w:sz w:val="24"/>
                <w:szCs w:val="24"/>
              </w:rPr>
              <w:t>300</w:t>
            </w:r>
          </w:p>
        </w:tc>
      </w:tr>
      <w:tr w14:paraId="3FA98873">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54CFBC39">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51333348">
            <w:pPr>
              <w:widowControl/>
              <w:spacing w:after="0" w:line="240" w:lineRule="auto"/>
              <w:jc w:val="center"/>
              <w:rPr>
                <w:kern w:val="0"/>
                <w:sz w:val="24"/>
                <w:szCs w:val="24"/>
              </w:rPr>
            </w:pPr>
            <w:r>
              <w:rPr>
                <w:kern w:val="0"/>
                <w:sz w:val="24"/>
                <w:szCs w:val="24"/>
              </w:rPr>
              <w:t>大朗镇</w:t>
            </w:r>
          </w:p>
        </w:tc>
        <w:tc>
          <w:tcPr>
            <w:tcW w:w="3852" w:type="dxa"/>
            <w:tcBorders>
              <w:top w:val="nil"/>
              <w:left w:val="nil"/>
              <w:bottom w:val="single" w:color="auto" w:sz="4" w:space="0"/>
              <w:right w:val="single" w:color="auto" w:sz="4" w:space="0"/>
            </w:tcBorders>
            <w:shd w:val="clear" w:color="auto" w:fill="FFFFFF"/>
            <w:vAlign w:val="center"/>
          </w:tcPr>
          <w:p w14:paraId="7FED5472">
            <w:pPr>
              <w:widowControl/>
              <w:spacing w:after="0" w:line="240" w:lineRule="auto"/>
              <w:jc w:val="center"/>
              <w:rPr>
                <w:sz w:val="24"/>
                <w:szCs w:val="24"/>
              </w:rPr>
            </w:pPr>
            <w:r>
              <w:rPr>
                <w:rFonts w:hint="eastAsia"/>
                <w:sz w:val="24"/>
                <w:szCs w:val="24"/>
              </w:rPr>
              <w:t xml:space="preserve">1970 </w:t>
            </w:r>
          </w:p>
        </w:tc>
        <w:tc>
          <w:tcPr>
            <w:tcW w:w="3852" w:type="dxa"/>
            <w:tcBorders>
              <w:top w:val="nil"/>
              <w:left w:val="nil"/>
              <w:bottom w:val="single" w:color="auto" w:sz="4" w:space="0"/>
              <w:right w:val="single" w:color="auto" w:sz="4" w:space="0"/>
            </w:tcBorders>
            <w:shd w:val="clear" w:color="auto" w:fill="FFFFFF"/>
            <w:vAlign w:val="center"/>
          </w:tcPr>
          <w:p w14:paraId="1DFEB417">
            <w:pPr>
              <w:widowControl/>
              <w:spacing w:after="0" w:line="240" w:lineRule="auto"/>
              <w:jc w:val="center"/>
              <w:rPr>
                <w:kern w:val="0"/>
                <w:sz w:val="24"/>
                <w:szCs w:val="24"/>
              </w:rPr>
            </w:pPr>
            <w:r>
              <w:rPr>
                <w:sz w:val="24"/>
                <w:szCs w:val="24"/>
              </w:rPr>
              <w:t>300</w:t>
            </w:r>
          </w:p>
        </w:tc>
      </w:tr>
      <w:tr w14:paraId="2DEBC443">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3004D467">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4E77840A">
            <w:pPr>
              <w:widowControl/>
              <w:spacing w:after="0" w:line="240" w:lineRule="auto"/>
              <w:jc w:val="center"/>
              <w:rPr>
                <w:kern w:val="0"/>
                <w:sz w:val="24"/>
                <w:szCs w:val="24"/>
              </w:rPr>
            </w:pPr>
            <w:r>
              <w:rPr>
                <w:kern w:val="0"/>
                <w:sz w:val="24"/>
                <w:szCs w:val="24"/>
              </w:rPr>
              <w:t>大岭山镇</w:t>
            </w:r>
          </w:p>
        </w:tc>
        <w:tc>
          <w:tcPr>
            <w:tcW w:w="3852" w:type="dxa"/>
            <w:tcBorders>
              <w:top w:val="nil"/>
              <w:left w:val="nil"/>
              <w:bottom w:val="single" w:color="auto" w:sz="4" w:space="0"/>
              <w:right w:val="single" w:color="auto" w:sz="4" w:space="0"/>
            </w:tcBorders>
            <w:shd w:val="clear" w:color="auto" w:fill="FFFFFF"/>
            <w:vAlign w:val="center"/>
          </w:tcPr>
          <w:p w14:paraId="5C58E450">
            <w:pPr>
              <w:widowControl/>
              <w:spacing w:after="0" w:line="240" w:lineRule="auto"/>
              <w:jc w:val="center"/>
              <w:rPr>
                <w:sz w:val="24"/>
                <w:szCs w:val="24"/>
              </w:rPr>
            </w:pPr>
            <w:r>
              <w:rPr>
                <w:rFonts w:hint="eastAsia"/>
                <w:sz w:val="24"/>
                <w:szCs w:val="24"/>
              </w:rPr>
              <w:t xml:space="preserve">4600 </w:t>
            </w:r>
          </w:p>
        </w:tc>
        <w:tc>
          <w:tcPr>
            <w:tcW w:w="3852" w:type="dxa"/>
            <w:tcBorders>
              <w:top w:val="nil"/>
              <w:left w:val="nil"/>
              <w:bottom w:val="single" w:color="auto" w:sz="4" w:space="0"/>
              <w:right w:val="single" w:color="auto" w:sz="4" w:space="0"/>
            </w:tcBorders>
            <w:shd w:val="clear" w:color="auto" w:fill="FFFFFF"/>
            <w:vAlign w:val="center"/>
          </w:tcPr>
          <w:p w14:paraId="07FBF665">
            <w:pPr>
              <w:widowControl/>
              <w:spacing w:after="0" w:line="240" w:lineRule="auto"/>
              <w:jc w:val="center"/>
              <w:rPr>
                <w:kern w:val="0"/>
                <w:sz w:val="24"/>
                <w:szCs w:val="24"/>
              </w:rPr>
            </w:pPr>
            <w:r>
              <w:rPr>
                <w:sz w:val="24"/>
                <w:szCs w:val="24"/>
              </w:rPr>
              <w:t>300</w:t>
            </w:r>
          </w:p>
        </w:tc>
      </w:tr>
      <w:tr w14:paraId="63E125B3">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457D4B06">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61893A3C">
            <w:pPr>
              <w:widowControl/>
              <w:spacing w:after="0" w:line="240" w:lineRule="auto"/>
              <w:jc w:val="center"/>
              <w:rPr>
                <w:kern w:val="0"/>
                <w:sz w:val="24"/>
                <w:szCs w:val="24"/>
              </w:rPr>
            </w:pPr>
            <w:r>
              <w:rPr>
                <w:kern w:val="0"/>
                <w:sz w:val="24"/>
                <w:szCs w:val="24"/>
              </w:rPr>
              <w:t>茶山镇</w:t>
            </w:r>
          </w:p>
        </w:tc>
        <w:tc>
          <w:tcPr>
            <w:tcW w:w="3852" w:type="dxa"/>
            <w:tcBorders>
              <w:top w:val="nil"/>
              <w:left w:val="nil"/>
              <w:bottom w:val="single" w:color="auto" w:sz="4" w:space="0"/>
              <w:right w:val="single" w:color="auto" w:sz="4" w:space="0"/>
            </w:tcBorders>
            <w:shd w:val="clear" w:color="auto" w:fill="FFFFFF"/>
            <w:vAlign w:val="center"/>
          </w:tcPr>
          <w:p w14:paraId="409B7520">
            <w:pPr>
              <w:widowControl/>
              <w:spacing w:after="0" w:line="240" w:lineRule="auto"/>
              <w:jc w:val="center"/>
              <w:rPr>
                <w:sz w:val="24"/>
                <w:szCs w:val="24"/>
              </w:rPr>
            </w:pPr>
            <w:r>
              <w:rPr>
                <w:rFonts w:hint="eastAsia"/>
                <w:sz w:val="24"/>
                <w:szCs w:val="24"/>
              </w:rPr>
              <w:t xml:space="preserve">4060 </w:t>
            </w:r>
          </w:p>
        </w:tc>
        <w:tc>
          <w:tcPr>
            <w:tcW w:w="3852" w:type="dxa"/>
            <w:tcBorders>
              <w:top w:val="nil"/>
              <w:left w:val="nil"/>
              <w:bottom w:val="single" w:color="auto" w:sz="4" w:space="0"/>
              <w:right w:val="single" w:color="auto" w:sz="4" w:space="0"/>
            </w:tcBorders>
            <w:shd w:val="clear" w:color="auto" w:fill="FFFFFF"/>
            <w:vAlign w:val="center"/>
          </w:tcPr>
          <w:p w14:paraId="50B08FE3">
            <w:pPr>
              <w:widowControl/>
              <w:spacing w:after="0" w:line="240" w:lineRule="auto"/>
              <w:jc w:val="center"/>
              <w:rPr>
                <w:kern w:val="0"/>
                <w:sz w:val="24"/>
                <w:szCs w:val="24"/>
              </w:rPr>
            </w:pPr>
            <w:r>
              <w:rPr>
                <w:rFonts w:hint="eastAsia"/>
                <w:kern w:val="0"/>
                <w:sz w:val="24"/>
                <w:szCs w:val="24"/>
              </w:rPr>
              <w:t>500</w:t>
            </w:r>
          </w:p>
        </w:tc>
      </w:tr>
      <w:tr w14:paraId="39C7F032">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474AC8DA">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52A1CC84">
            <w:pPr>
              <w:widowControl/>
              <w:spacing w:after="0" w:line="240" w:lineRule="auto"/>
              <w:jc w:val="center"/>
              <w:rPr>
                <w:kern w:val="0"/>
                <w:sz w:val="24"/>
                <w:szCs w:val="24"/>
              </w:rPr>
            </w:pPr>
            <w:r>
              <w:rPr>
                <w:kern w:val="0"/>
                <w:sz w:val="24"/>
                <w:szCs w:val="24"/>
              </w:rPr>
              <w:t>东坑镇</w:t>
            </w:r>
          </w:p>
        </w:tc>
        <w:tc>
          <w:tcPr>
            <w:tcW w:w="3852" w:type="dxa"/>
            <w:tcBorders>
              <w:top w:val="nil"/>
              <w:left w:val="nil"/>
              <w:bottom w:val="single" w:color="auto" w:sz="4" w:space="0"/>
              <w:right w:val="single" w:color="auto" w:sz="4" w:space="0"/>
            </w:tcBorders>
            <w:shd w:val="clear" w:color="auto" w:fill="FFFFFF"/>
            <w:vAlign w:val="center"/>
          </w:tcPr>
          <w:p w14:paraId="0AA33FA4">
            <w:pPr>
              <w:widowControl/>
              <w:spacing w:after="0" w:line="240" w:lineRule="auto"/>
              <w:jc w:val="center"/>
              <w:rPr>
                <w:sz w:val="24"/>
                <w:szCs w:val="24"/>
              </w:rPr>
            </w:pPr>
            <w:r>
              <w:rPr>
                <w:rFonts w:hint="eastAsia"/>
                <w:sz w:val="24"/>
                <w:szCs w:val="24"/>
              </w:rPr>
              <w:t xml:space="preserve">1280 </w:t>
            </w:r>
          </w:p>
        </w:tc>
        <w:tc>
          <w:tcPr>
            <w:tcW w:w="3852" w:type="dxa"/>
            <w:tcBorders>
              <w:top w:val="nil"/>
              <w:left w:val="nil"/>
              <w:bottom w:val="single" w:color="auto" w:sz="4" w:space="0"/>
              <w:right w:val="single" w:color="auto" w:sz="4" w:space="0"/>
            </w:tcBorders>
            <w:shd w:val="clear" w:color="auto" w:fill="FFFFFF"/>
            <w:vAlign w:val="center"/>
          </w:tcPr>
          <w:p w14:paraId="1DDAC2DB">
            <w:pPr>
              <w:widowControl/>
              <w:spacing w:after="0" w:line="240" w:lineRule="auto"/>
              <w:jc w:val="center"/>
              <w:rPr>
                <w:kern w:val="0"/>
                <w:sz w:val="24"/>
                <w:szCs w:val="24"/>
              </w:rPr>
            </w:pPr>
            <w:r>
              <w:rPr>
                <w:rFonts w:hint="eastAsia"/>
                <w:kern w:val="0"/>
                <w:sz w:val="24"/>
                <w:szCs w:val="24"/>
              </w:rPr>
              <w:t>3</w:t>
            </w:r>
            <w:r>
              <w:rPr>
                <w:kern w:val="0"/>
                <w:sz w:val="24"/>
                <w:szCs w:val="24"/>
              </w:rPr>
              <w:t>00</w:t>
            </w:r>
          </w:p>
        </w:tc>
      </w:tr>
      <w:tr w14:paraId="25522AA2">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764C31B">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4252CAA">
            <w:pPr>
              <w:widowControl/>
              <w:spacing w:after="0" w:line="240" w:lineRule="auto"/>
              <w:jc w:val="center"/>
              <w:rPr>
                <w:kern w:val="0"/>
                <w:sz w:val="24"/>
                <w:szCs w:val="24"/>
              </w:rPr>
            </w:pPr>
            <w:r>
              <w:rPr>
                <w:kern w:val="0"/>
                <w:sz w:val="24"/>
                <w:szCs w:val="24"/>
              </w:rPr>
              <w:t>黄江镇</w:t>
            </w:r>
          </w:p>
        </w:tc>
        <w:tc>
          <w:tcPr>
            <w:tcW w:w="3852" w:type="dxa"/>
            <w:tcBorders>
              <w:top w:val="nil"/>
              <w:left w:val="nil"/>
              <w:bottom w:val="single" w:color="auto" w:sz="4" w:space="0"/>
              <w:right w:val="single" w:color="auto" w:sz="4" w:space="0"/>
            </w:tcBorders>
            <w:shd w:val="clear" w:color="auto" w:fill="FFFFFF"/>
            <w:vAlign w:val="center"/>
          </w:tcPr>
          <w:p w14:paraId="1EB988A2">
            <w:pPr>
              <w:widowControl/>
              <w:spacing w:after="0" w:line="240" w:lineRule="auto"/>
              <w:jc w:val="center"/>
              <w:rPr>
                <w:sz w:val="24"/>
                <w:szCs w:val="24"/>
              </w:rPr>
            </w:pPr>
            <w:r>
              <w:rPr>
                <w:rFonts w:hint="eastAsia"/>
                <w:sz w:val="24"/>
                <w:szCs w:val="24"/>
              </w:rPr>
              <w:t xml:space="preserve">2440 </w:t>
            </w:r>
          </w:p>
        </w:tc>
        <w:tc>
          <w:tcPr>
            <w:tcW w:w="3852" w:type="dxa"/>
            <w:tcBorders>
              <w:top w:val="nil"/>
              <w:left w:val="nil"/>
              <w:bottom w:val="single" w:color="auto" w:sz="4" w:space="0"/>
              <w:right w:val="single" w:color="auto" w:sz="4" w:space="0"/>
            </w:tcBorders>
            <w:shd w:val="clear" w:color="auto" w:fill="FFFFFF"/>
            <w:vAlign w:val="center"/>
          </w:tcPr>
          <w:p w14:paraId="38ABFBAA">
            <w:pPr>
              <w:widowControl/>
              <w:spacing w:after="0" w:line="240" w:lineRule="auto"/>
              <w:jc w:val="center"/>
              <w:rPr>
                <w:kern w:val="0"/>
                <w:sz w:val="24"/>
                <w:szCs w:val="24"/>
              </w:rPr>
            </w:pPr>
            <w:r>
              <w:rPr>
                <w:sz w:val="24"/>
                <w:szCs w:val="24"/>
              </w:rPr>
              <w:t>300</w:t>
            </w:r>
          </w:p>
        </w:tc>
      </w:tr>
      <w:tr w14:paraId="728A477E">
        <w:tblPrEx>
          <w:tblCellMar>
            <w:top w:w="0" w:type="dxa"/>
            <w:left w:w="108" w:type="dxa"/>
            <w:bottom w:w="0" w:type="dxa"/>
            <w:right w:w="108" w:type="dxa"/>
          </w:tblCellMar>
        </w:tblPrEx>
        <w:trPr>
          <w:trHeight w:val="247"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56E555C1">
            <w:pPr>
              <w:widowControl/>
              <w:spacing w:after="0" w:line="240" w:lineRule="auto"/>
              <w:jc w:val="center"/>
              <w:rPr>
                <w:kern w:val="0"/>
                <w:sz w:val="24"/>
                <w:szCs w:val="24"/>
              </w:rPr>
            </w:pPr>
            <w:r>
              <w:rPr>
                <w:kern w:val="0"/>
                <w:sz w:val="24"/>
                <w:szCs w:val="24"/>
              </w:rPr>
              <w:t>滨海湾片区</w:t>
            </w:r>
          </w:p>
        </w:tc>
        <w:tc>
          <w:tcPr>
            <w:tcW w:w="3118" w:type="dxa"/>
            <w:tcBorders>
              <w:top w:val="nil"/>
              <w:left w:val="nil"/>
              <w:bottom w:val="single" w:color="auto" w:sz="4" w:space="0"/>
              <w:right w:val="single" w:color="auto" w:sz="4" w:space="0"/>
            </w:tcBorders>
            <w:shd w:val="clear" w:color="auto" w:fill="FFFFFF"/>
            <w:vAlign w:val="center"/>
          </w:tcPr>
          <w:p w14:paraId="4566948E">
            <w:pPr>
              <w:widowControl/>
              <w:spacing w:after="0" w:line="240" w:lineRule="auto"/>
              <w:jc w:val="center"/>
              <w:rPr>
                <w:kern w:val="0"/>
                <w:sz w:val="24"/>
                <w:szCs w:val="24"/>
              </w:rPr>
            </w:pPr>
            <w:r>
              <w:rPr>
                <w:kern w:val="0"/>
                <w:sz w:val="24"/>
                <w:szCs w:val="24"/>
              </w:rPr>
              <w:t>滨海湾</w:t>
            </w:r>
          </w:p>
        </w:tc>
        <w:tc>
          <w:tcPr>
            <w:tcW w:w="3852" w:type="dxa"/>
            <w:tcBorders>
              <w:top w:val="nil"/>
              <w:left w:val="nil"/>
              <w:bottom w:val="single" w:color="auto" w:sz="4" w:space="0"/>
              <w:right w:val="single" w:color="auto" w:sz="4" w:space="0"/>
            </w:tcBorders>
            <w:shd w:val="clear" w:color="auto" w:fill="FFFFFF"/>
            <w:vAlign w:val="center"/>
          </w:tcPr>
          <w:p w14:paraId="63B85978">
            <w:pPr>
              <w:widowControl/>
              <w:spacing w:after="0" w:line="240" w:lineRule="auto"/>
              <w:jc w:val="center"/>
              <w:rPr>
                <w:sz w:val="24"/>
                <w:szCs w:val="24"/>
              </w:rPr>
            </w:pPr>
            <w:r>
              <w:rPr>
                <w:rFonts w:hint="eastAsia"/>
                <w:sz w:val="24"/>
                <w:szCs w:val="24"/>
              </w:rPr>
              <w:t xml:space="preserve">2000 </w:t>
            </w:r>
          </w:p>
        </w:tc>
        <w:tc>
          <w:tcPr>
            <w:tcW w:w="3852" w:type="dxa"/>
            <w:tcBorders>
              <w:top w:val="nil"/>
              <w:left w:val="nil"/>
              <w:bottom w:val="single" w:color="auto" w:sz="4" w:space="0"/>
              <w:right w:val="single" w:color="auto" w:sz="4" w:space="0"/>
            </w:tcBorders>
            <w:shd w:val="clear" w:color="auto" w:fill="FFFFFF"/>
            <w:vAlign w:val="center"/>
          </w:tcPr>
          <w:p w14:paraId="40DA2AE7">
            <w:pPr>
              <w:widowControl/>
              <w:spacing w:after="0" w:line="240" w:lineRule="auto"/>
              <w:jc w:val="center"/>
              <w:rPr>
                <w:kern w:val="0"/>
                <w:sz w:val="24"/>
                <w:szCs w:val="24"/>
              </w:rPr>
            </w:pPr>
            <w:r>
              <w:rPr>
                <w:sz w:val="24"/>
                <w:szCs w:val="24"/>
              </w:rPr>
              <w:t>300</w:t>
            </w:r>
          </w:p>
        </w:tc>
      </w:tr>
      <w:tr w14:paraId="3AA95636">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2279E729">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21B7403E">
            <w:pPr>
              <w:widowControl/>
              <w:spacing w:after="0" w:line="240" w:lineRule="auto"/>
              <w:jc w:val="center"/>
              <w:rPr>
                <w:kern w:val="0"/>
                <w:sz w:val="24"/>
                <w:szCs w:val="24"/>
              </w:rPr>
            </w:pPr>
            <w:r>
              <w:rPr>
                <w:kern w:val="0"/>
                <w:sz w:val="24"/>
                <w:szCs w:val="24"/>
              </w:rPr>
              <w:t>长安镇</w:t>
            </w:r>
          </w:p>
        </w:tc>
        <w:tc>
          <w:tcPr>
            <w:tcW w:w="3852" w:type="dxa"/>
            <w:tcBorders>
              <w:top w:val="nil"/>
              <w:left w:val="nil"/>
              <w:bottom w:val="single" w:color="auto" w:sz="4" w:space="0"/>
              <w:right w:val="single" w:color="auto" w:sz="4" w:space="0"/>
            </w:tcBorders>
            <w:shd w:val="clear" w:color="auto" w:fill="FFFFFF"/>
            <w:vAlign w:val="center"/>
          </w:tcPr>
          <w:p w14:paraId="545AC29A">
            <w:pPr>
              <w:widowControl/>
              <w:spacing w:after="0" w:line="240" w:lineRule="auto"/>
              <w:jc w:val="center"/>
              <w:rPr>
                <w:sz w:val="24"/>
                <w:szCs w:val="24"/>
              </w:rPr>
            </w:pPr>
            <w:r>
              <w:rPr>
                <w:rFonts w:hint="eastAsia"/>
                <w:sz w:val="24"/>
                <w:szCs w:val="24"/>
              </w:rPr>
              <w:t xml:space="preserve">2770 </w:t>
            </w:r>
          </w:p>
        </w:tc>
        <w:tc>
          <w:tcPr>
            <w:tcW w:w="3852" w:type="dxa"/>
            <w:tcBorders>
              <w:top w:val="nil"/>
              <w:left w:val="nil"/>
              <w:bottom w:val="single" w:color="auto" w:sz="4" w:space="0"/>
              <w:right w:val="single" w:color="auto" w:sz="4" w:space="0"/>
            </w:tcBorders>
            <w:shd w:val="clear" w:color="auto" w:fill="FFFFFF"/>
            <w:vAlign w:val="center"/>
          </w:tcPr>
          <w:p w14:paraId="02304781">
            <w:pPr>
              <w:widowControl/>
              <w:spacing w:after="0" w:line="240" w:lineRule="auto"/>
              <w:jc w:val="center"/>
              <w:rPr>
                <w:kern w:val="0"/>
                <w:sz w:val="24"/>
                <w:szCs w:val="24"/>
              </w:rPr>
            </w:pPr>
            <w:r>
              <w:rPr>
                <w:kern w:val="0"/>
                <w:sz w:val="24"/>
                <w:szCs w:val="24"/>
              </w:rPr>
              <w:t>500</w:t>
            </w:r>
          </w:p>
        </w:tc>
      </w:tr>
      <w:tr w14:paraId="49D239C7">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4003CED4">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71E09F6D">
            <w:pPr>
              <w:widowControl/>
              <w:spacing w:after="0" w:line="240" w:lineRule="auto"/>
              <w:jc w:val="center"/>
              <w:rPr>
                <w:kern w:val="0"/>
                <w:sz w:val="24"/>
                <w:szCs w:val="24"/>
              </w:rPr>
            </w:pPr>
            <w:r>
              <w:rPr>
                <w:kern w:val="0"/>
                <w:sz w:val="24"/>
                <w:szCs w:val="24"/>
              </w:rPr>
              <w:t>沙田镇</w:t>
            </w:r>
          </w:p>
        </w:tc>
        <w:tc>
          <w:tcPr>
            <w:tcW w:w="3852" w:type="dxa"/>
            <w:tcBorders>
              <w:top w:val="nil"/>
              <w:left w:val="nil"/>
              <w:bottom w:val="single" w:color="auto" w:sz="4" w:space="0"/>
              <w:right w:val="single" w:color="auto" w:sz="4" w:space="0"/>
            </w:tcBorders>
            <w:shd w:val="clear" w:color="auto" w:fill="FFFFFF"/>
            <w:vAlign w:val="center"/>
          </w:tcPr>
          <w:p w14:paraId="0A4823DE">
            <w:pPr>
              <w:widowControl/>
              <w:spacing w:after="0" w:line="240" w:lineRule="auto"/>
              <w:jc w:val="center"/>
              <w:rPr>
                <w:sz w:val="24"/>
                <w:szCs w:val="24"/>
              </w:rPr>
            </w:pPr>
            <w:r>
              <w:rPr>
                <w:rFonts w:hint="eastAsia"/>
                <w:sz w:val="24"/>
                <w:szCs w:val="24"/>
              </w:rPr>
              <w:t xml:space="preserve">2870 </w:t>
            </w:r>
          </w:p>
        </w:tc>
        <w:tc>
          <w:tcPr>
            <w:tcW w:w="3852" w:type="dxa"/>
            <w:tcBorders>
              <w:top w:val="nil"/>
              <w:left w:val="nil"/>
              <w:bottom w:val="single" w:color="auto" w:sz="4" w:space="0"/>
              <w:right w:val="single" w:color="auto" w:sz="4" w:space="0"/>
            </w:tcBorders>
            <w:shd w:val="clear" w:color="auto" w:fill="FFFFFF"/>
            <w:vAlign w:val="center"/>
          </w:tcPr>
          <w:p w14:paraId="6892BE8A">
            <w:pPr>
              <w:widowControl/>
              <w:spacing w:after="0" w:line="240" w:lineRule="auto"/>
              <w:jc w:val="center"/>
              <w:rPr>
                <w:kern w:val="0"/>
                <w:sz w:val="24"/>
                <w:szCs w:val="24"/>
              </w:rPr>
            </w:pPr>
            <w:r>
              <w:rPr>
                <w:kern w:val="0"/>
                <w:sz w:val="24"/>
                <w:szCs w:val="24"/>
              </w:rPr>
              <w:t>500</w:t>
            </w:r>
          </w:p>
        </w:tc>
      </w:tr>
      <w:tr w14:paraId="0345B48E">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28A00C2E">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FF94D2F">
            <w:pPr>
              <w:widowControl/>
              <w:spacing w:after="0" w:line="240" w:lineRule="auto"/>
              <w:jc w:val="center"/>
              <w:rPr>
                <w:kern w:val="0"/>
                <w:sz w:val="24"/>
                <w:szCs w:val="24"/>
              </w:rPr>
            </w:pPr>
            <w:r>
              <w:rPr>
                <w:kern w:val="0"/>
                <w:sz w:val="24"/>
                <w:szCs w:val="24"/>
              </w:rPr>
              <w:t>虎门镇</w:t>
            </w:r>
          </w:p>
        </w:tc>
        <w:tc>
          <w:tcPr>
            <w:tcW w:w="3852" w:type="dxa"/>
            <w:tcBorders>
              <w:top w:val="nil"/>
              <w:left w:val="nil"/>
              <w:bottom w:val="single" w:color="auto" w:sz="4" w:space="0"/>
              <w:right w:val="single" w:color="auto" w:sz="4" w:space="0"/>
            </w:tcBorders>
            <w:shd w:val="clear" w:color="auto" w:fill="FFFFFF"/>
            <w:vAlign w:val="center"/>
          </w:tcPr>
          <w:p w14:paraId="2DE61234">
            <w:pPr>
              <w:widowControl/>
              <w:spacing w:after="0" w:line="240" w:lineRule="auto"/>
              <w:jc w:val="center"/>
              <w:rPr>
                <w:sz w:val="24"/>
                <w:szCs w:val="24"/>
              </w:rPr>
            </w:pPr>
            <w:r>
              <w:rPr>
                <w:rFonts w:hint="eastAsia"/>
                <w:sz w:val="24"/>
                <w:szCs w:val="24"/>
              </w:rPr>
              <w:t xml:space="preserve">5730 </w:t>
            </w:r>
          </w:p>
        </w:tc>
        <w:tc>
          <w:tcPr>
            <w:tcW w:w="3852" w:type="dxa"/>
            <w:tcBorders>
              <w:top w:val="nil"/>
              <w:left w:val="nil"/>
              <w:bottom w:val="single" w:color="auto" w:sz="4" w:space="0"/>
              <w:right w:val="single" w:color="auto" w:sz="4" w:space="0"/>
            </w:tcBorders>
            <w:shd w:val="clear" w:color="auto" w:fill="FFFFFF"/>
            <w:vAlign w:val="center"/>
          </w:tcPr>
          <w:p w14:paraId="4C85D657">
            <w:pPr>
              <w:widowControl/>
              <w:spacing w:after="0" w:line="240" w:lineRule="auto"/>
              <w:jc w:val="center"/>
              <w:rPr>
                <w:kern w:val="0"/>
                <w:sz w:val="24"/>
                <w:szCs w:val="24"/>
              </w:rPr>
            </w:pPr>
            <w:r>
              <w:rPr>
                <w:kern w:val="0"/>
                <w:sz w:val="24"/>
                <w:szCs w:val="24"/>
              </w:rPr>
              <w:t>300</w:t>
            </w:r>
          </w:p>
        </w:tc>
      </w:tr>
      <w:tr w14:paraId="049936C8">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7D4FFA6">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FB0349F">
            <w:pPr>
              <w:widowControl/>
              <w:spacing w:after="0" w:line="240" w:lineRule="auto"/>
              <w:jc w:val="center"/>
              <w:rPr>
                <w:kern w:val="0"/>
                <w:sz w:val="24"/>
                <w:szCs w:val="24"/>
              </w:rPr>
            </w:pPr>
            <w:r>
              <w:rPr>
                <w:kern w:val="0"/>
                <w:sz w:val="24"/>
                <w:szCs w:val="24"/>
              </w:rPr>
              <w:t>厚街镇</w:t>
            </w:r>
          </w:p>
        </w:tc>
        <w:tc>
          <w:tcPr>
            <w:tcW w:w="3852" w:type="dxa"/>
            <w:tcBorders>
              <w:top w:val="nil"/>
              <w:left w:val="nil"/>
              <w:bottom w:val="single" w:color="auto" w:sz="4" w:space="0"/>
              <w:right w:val="single" w:color="auto" w:sz="4" w:space="0"/>
            </w:tcBorders>
            <w:shd w:val="clear" w:color="auto" w:fill="FFFFFF"/>
            <w:vAlign w:val="center"/>
          </w:tcPr>
          <w:p w14:paraId="32DEDE28">
            <w:pPr>
              <w:widowControl/>
              <w:spacing w:after="0" w:line="240" w:lineRule="auto"/>
              <w:jc w:val="center"/>
              <w:rPr>
                <w:sz w:val="24"/>
                <w:szCs w:val="24"/>
              </w:rPr>
            </w:pPr>
            <w:r>
              <w:rPr>
                <w:rFonts w:hint="eastAsia"/>
                <w:sz w:val="24"/>
                <w:szCs w:val="24"/>
              </w:rPr>
              <w:t xml:space="preserve">5160 </w:t>
            </w:r>
          </w:p>
        </w:tc>
        <w:tc>
          <w:tcPr>
            <w:tcW w:w="3852" w:type="dxa"/>
            <w:tcBorders>
              <w:top w:val="nil"/>
              <w:left w:val="nil"/>
              <w:bottom w:val="single" w:color="auto" w:sz="4" w:space="0"/>
              <w:right w:val="single" w:color="auto" w:sz="4" w:space="0"/>
            </w:tcBorders>
            <w:shd w:val="clear" w:color="auto" w:fill="FFFFFF"/>
            <w:vAlign w:val="center"/>
          </w:tcPr>
          <w:p w14:paraId="54406DA2">
            <w:pPr>
              <w:widowControl/>
              <w:spacing w:after="0" w:line="240" w:lineRule="auto"/>
              <w:jc w:val="center"/>
              <w:rPr>
                <w:kern w:val="0"/>
                <w:sz w:val="24"/>
                <w:szCs w:val="24"/>
              </w:rPr>
            </w:pPr>
            <w:r>
              <w:rPr>
                <w:kern w:val="0"/>
                <w:sz w:val="24"/>
                <w:szCs w:val="24"/>
              </w:rPr>
              <w:t>300</w:t>
            </w:r>
          </w:p>
        </w:tc>
      </w:tr>
      <w:tr w14:paraId="0F7B8DBA">
        <w:tblPrEx>
          <w:tblCellMar>
            <w:top w:w="0" w:type="dxa"/>
            <w:left w:w="108" w:type="dxa"/>
            <w:bottom w:w="0" w:type="dxa"/>
            <w:right w:w="108" w:type="dxa"/>
          </w:tblCellMar>
        </w:tblPrEx>
        <w:trPr>
          <w:trHeight w:val="247"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60BC1609">
            <w:pPr>
              <w:widowControl/>
              <w:spacing w:after="0" w:line="240" w:lineRule="auto"/>
              <w:jc w:val="center"/>
              <w:rPr>
                <w:kern w:val="0"/>
                <w:sz w:val="24"/>
                <w:szCs w:val="24"/>
              </w:rPr>
            </w:pPr>
            <w:r>
              <w:rPr>
                <w:kern w:val="0"/>
                <w:sz w:val="24"/>
                <w:szCs w:val="24"/>
              </w:rPr>
              <w:t>水乡新城片区</w:t>
            </w:r>
          </w:p>
        </w:tc>
        <w:tc>
          <w:tcPr>
            <w:tcW w:w="3118" w:type="dxa"/>
            <w:tcBorders>
              <w:top w:val="nil"/>
              <w:left w:val="nil"/>
              <w:bottom w:val="single" w:color="auto" w:sz="4" w:space="0"/>
              <w:right w:val="single" w:color="auto" w:sz="4" w:space="0"/>
            </w:tcBorders>
            <w:shd w:val="clear" w:color="auto" w:fill="FFFFFF"/>
            <w:vAlign w:val="center"/>
          </w:tcPr>
          <w:p w14:paraId="582F8BA0">
            <w:pPr>
              <w:widowControl/>
              <w:spacing w:after="0" w:line="240" w:lineRule="auto"/>
              <w:jc w:val="center"/>
              <w:rPr>
                <w:kern w:val="0"/>
                <w:sz w:val="24"/>
                <w:szCs w:val="24"/>
              </w:rPr>
            </w:pPr>
            <w:r>
              <w:rPr>
                <w:kern w:val="0"/>
                <w:sz w:val="24"/>
                <w:szCs w:val="24"/>
              </w:rPr>
              <w:t>道</w:t>
            </w:r>
            <w:r>
              <w:rPr>
                <w:rFonts w:hint="eastAsia" w:ascii="仿宋_GB2312" w:hAnsi="仿宋_GB2312" w:eastAsia="仿宋_GB2312" w:cs="仿宋_GB2312"/>
                <w:kern w:val="0"/>
                <w:sz w:val="24"/>
                <w:szCs w:val="24"/>
              </w:rPr>
              <w:t>滘</w:t>
            </w:r>
            <w:r>
              <w:rPr>
                <w:kern w:val="0"/>
                <w:sz w:val="24"/>
                <w:szCs w:val="24"/>
              </w:rPr>
              <w:t>镇</w:t>
            </w:r>
          </w:p>
        </w:tc>
        <w:tc>
          <w:tcPr>
            <w:tcW w:w="3852" w:type="dxa"/>
            <w:tcBorders>
              <w:top w:val="nil"/>
              <w:left w:val="nil"/>
              <w:bottom w:val="single" w:color="auto" w:sz="4" w:space="0"/>
              <w:right w:val="single" w:color="auto" w:sz="4" w:space="0"/>
            </w:tcBorders>
            <w:shd w:val="clear" w:color="auto" w:fill="FFFFFF"/>
            <w:vAlign w:val="center"/>
          </w:tcPr>
          <w:p w14:paraId="30DE107D">
            <w:pPr>
              <w:widowControl/>
              <w:spacing w:after="0" w:line="240" w:lineRule="auto"/>
              <w:jc w:val="center"/>
              <w:rPr>
                <w:sz w:val="24"/>
                <w:szCs w:val="24"/>
              </w:rPr>
            </w:pPr>
            <w:r>
              <w:rPr>
                <w:rFonts w:hint="eastAsia"/>
                <w:sz w:val="24"/>
                <w:szCs w:val="24"/>
              </w:rPr>
              <w:t xml:space="preserve">1750 </w:t>
            </w:r>
          </w:p>
        </w:tc>
        <w:tc>
          <w:tcPr>
            <w:tcW w:w="3852" w:type="dxa"/>
            <w:tcBorders>
              <w:top w:val="nil"/>
              <w:left w:val="nil"/>
              <w:bottom w:val="single" w:color="auto" w:sz="4" w:space="0"/>
              <w:right w:val="single" w:color="auto" w:sz="4" w:space="0"/>
            </w:tcBorders>
            <w:shd w:val="clear" w:color="auto" w:fill="FFFFFF"/>
            <w:vAlign w:val="center"/>
          </w:tcPr>
          <w:p w14:paraId="6CBA8617">
            <w:pPr>
              <w:widowControl/>
              <w:spacing w:after="0" w:line="240" w:lineRule="auto"/>
              <w:jc w:val="center"/>
              <w:rPr>
                <w:kern w:val="0"/>
                <w:sz w:val="24"/>
                <w:szCs w:val="24"/>
              </w:rPr>
            </w:pPr>
            <w:r>
              <w:rPr>
                <w:kern w:val="0"/>
                <w:sz w:val="24"/>
                <w:szCs w:val="24"/>
              </w:rPr>
              <w:t>300</w:t>
            </w:r>
          </w:p>
        </w:tc>
      </w:tr>
      <w:tr w14:paraId="413008D4">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0A1B458">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0BAF1840">
            <w:pPr>
              <w:widowControl/>
              <w:spacing w:after="0" w:line="240" w:lineRule="auto"/>
              <w:jc w:val="center"/>
              <w:rPr>
                <w:kern w:val="0"/>
                <w:sz w:val="24"/>
                <w:szCs w:val="24"/>
              </w:rPr>
            </w:pPr>
            <w:r>
              <w:rPr>
                <w:kern w:val="0"/>
                <w:sz w:val="24"/>
                <w:szCs w:val="24"/>
              </w:rPr>
              <w:t>麻涌镇</w:t>
            </w:r>
          </w:p>
        </w:tc>
        <w:tc>
          <w:tcPr>
            <w:tcW w:w="3852" w:type="dxa"/>
            <w:tcBorders>
              <w:top w:val="nil"/>
              <w:left w:val="nil"/>
              <w:bottom w:val="single" w:color="auto" w:sz="4" w:space="0"/>
              <w:right w:val="single" w:color="auto" w:sz="4" w:space="0"/>
            </w:tcBorders>
            <w:shd w:val="clear" w:color="auto" w:fill="FFFFFF"/>
            <w:vAlign w:val="center"/>
          </w:tcPr>
          <w:p w14:paraId="2D95FC0F">
            <w:pPr>
              <w:widowControl/>
              <w:spacing w:after="0" w:line="240" w:lineRule="auto"/>
              <w:jc w:val="center"/>
              <w:rPr>
                <w:sz w:val="24"/>
                <w:szCs w:val="24"/>
              </w:rPr>
            </w:pPr>
            <w:r>
              <w:rPr>
                <w:rFonts w:hint="eastAsia"/>
                <w:sz w:val="24"/>
                <w:szCs w:val="24"/>
              </w:rPr>
              <w:t xml:space="preserve">3570 </w:t>
            </w:r>
          </w:p>
        </w:tc>
        <w:tc>
          <w:tcPr>
            <w:tcW w:w="3852" w:type="dxa"/>
            <w:tcBorders>
              <w:top w:val="nil"/>
              <w:left w:val="nil"/>
              <w:bottom w:val="single" w:color="auto" w:sz="4" w:space="0"/>
              <w:right w:val="single" w:color="auto" w:sz="4" w:space="0"/>
            </w:tcBorders>
            <w:shd w:val="clear" w:color="auto" w:fill="FFFFFF"/>
            <w:vAlign w:val="center"/>
          </w:tcPr>
          <w:p w14:paraId="2757724A">
            <w:pPr>
              <w:widowControl/>
              <w:spacing w:after="0" w:line="240" w:lineRule="auto"/>
              <w:jc w:val="center"/>
              <w:rPr>
                <w:kern w:val="0"/>
                <w:sz w:val="24"/>
                <w:szCs w:val="24"/>
              </w:rPr>
            </w:pPr>
            <w:r>
              <w:rPr>
                <w:rFonts w:hint="eastAsia"/>
                <w:kern w:val="0"/>
                <w:sz w:val="24"/>
                <w:szCs w:val="24"/>
              </w:rPr>
              <w:t>3</w:t>
            </w:r>
            <w:r>
              <w:rPr>
                <w:kern w:val="0"/>
                <w:sz w:val="24"/>
                <w:szCs w:val="24"/>
              </w:rPr>
              <w:t>00</w:t>
            </w:r>
          </w:p>
        </w:tc>
      </w:tr>
      <w:tr w14:paraId="528D4D1F">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37FCBFF">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4FA70F47">
            <w:pPr>
              <w:widowControl/>
              <w:spacing w:after="0" w:line="240" w:lineRule="auto"/>
              <w:jc w:val="center"/>
              <w:rPr>
                <w:kern w:val="0"/>
                <w:sz w:val="24"/>
                <w:szCs w:val="24"/>
              </w:rPr>
            </w:pPr>
            <w:r>
              <w:rPr>
                <w:kern w:val="0"/>
                <w:sz w:val="24"/>
                <w:szCs w:val="24"/>
              </w:rPr>
              <w:t>望牛墩镇</w:t>
            </w:r>
          </w:p>
        </w:tc>
        <w:tc>
          <w:tcPr>
            <w:tcW w:w="3852" w:type="dxa"/>
            <w:tcBorders>
              <w:top w:val="nil"/>
              <w:left w:val="nil"/>
              <w:bottom w:val="single" w:color="auto" w:sz="4" w:space="0"/>
              <w:right w:val="single" w:color="auto" w:sz="4" w:space="0"/>
            </w:tcBorders>
            <w:shd w:val="clear" w:color="auto" w:fill="FFFFFF"/>
            <w:vAlign w:val="center"/>
          </w:tcPr>
          <w:p w14:paraId="0E4CD2C0">
            <w:pPr>
              <w:widowControl/>
              <w:spacing w:after="0" w:line="240" w:lineRule="auto"/>
              <w:jc w:val="center"/>
              <w:rPr>
                <w:sz w:val="24"/>
                <w:szCs w:val="24"/>
              </w:rPr>
            </w:pPr>
            <w:r>
              <w:rPr>
                <w:rFonts w:hint="eastAsia"/>
                <w:sz w:val="24"/>
                <w:szCs w:val="24"/>
              </w:rPr>
              <w:t xml:space="preserve">1040 </w:t>
            </w:r>
          </w:p>
        </w:tc>
        <w:tc>
          <w:tcPr>
            <w:tcW w:w="3852" w:type="dxa"/>
            <w:tcBorders>
              <w:top w:val="nil"/>
              <w:left w:val="nil"/>
              <w:bottom w:val="single" w:color="auto" w:sz="4" w:space="0"/>
              <w:right w:val="single" w:color="auto" w:sz="4" w:space="0"/>
            </w:tcBorders>
            <w:shd w:val="clear" w:color="auto" w:fill="FFFFFF"/>
            <w:vAlign w:val="center"/>
          </w:tcPr>
          <w:p w14:paraId="5559FBF4">
            <w:pPr>
              <w:widowControl/>
              <w:spacing w:after="0" w:line="240" w:lineRule="auto"/>
              <w:jc w:val="center"/>
              <w:rPr>
                <w:kern w:val="0"/>
                <w:sz w:val="24"/>
                <w:szCs w:val="24"/>
              </w:rPr>
            </w:pPr>
            <w:r>
              <w:rPr>
                <w:rFonts w:hint="eastAsia"/>
                <w:kern w:val="0"/>
                <w:sz w:val="24"/>
                <w:szCs w:val="24"/>
              </w:rPr>
              <w:t>8</w:t>
            </w:r>
            <w:r>
              <w:rPr>
                <w:kern w:val="0"/>
                <w:sz w:val="24"/>
                <w:szCs w:val="24"/>
              </w:rPr>
              <w:t>00</w:t>
            </w:r>
          </w:p>
        </w:tc>
      </w:tr>
      <w:tr w14:paraId="78B07B67">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289DF7C5">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5CBBC84C">
            <w:pPr>
              <w:widowControl/>
              <w:spacing w:after="0" w:line="240" w:lineRule="auto"/>
              <w:jc w:val="center"/>
              <w:rPr>
                <w:kern w:val="0"/>
                <w:sz w:val="24"/>
                <w:szCs w:val="24"/>
              </w:rPr>
            </w:pPr>
            <w:r>
              <w:rPr>
                <w:kern w:val="0"/>
                <w:sz w:val="24"/>
                <w:szCs w:val="24"/>
              </w:rPr>
              <w:t>洪梅镇</w:t>
            </w:r>
          </w:p>
        </w:tc>
        <w:tc>
          <w:tcPr>
            <w:tcW w:w="3852" w:type="dxa"/>
            <w:tcBorders>
              <w:top w:val="nil"/>
              <w:left w:val="nil"/>
              <w:bottom w:val="single" w:color="auto" w:sz="4" w:space="0"/>
              <w:right w:val="single" w:color="auto" w:sz="4" w:space="0"/>
            </w:tcBorders>
            <w:shd w:val="clear" w:color="auto" w:fill="FFFFFF"/>
            <w:vAlign w:val="center"/>
          </w:tcPr>
          <w:p w14:paraId="663F817B">
            <w:pPr>
              <w:widowControl/>
              <w:spacing w:after="0" w:line="240" w:lineRule="auto"/>
              <w:jc w:val="center"/>
              <w:rPr>
                <w:sz w:val="24"/>
                <w:szCs w:val="24"/>
              </w:rPr>
            </w:pPr>
            <w:r>
              <w:rPr>
                <w:rFonts w:hint="eastAsia"/>
                <w:sz w:val="24"/>
                <w:szCs w:val="24"/>
              </w:rPr>
              <w:t xml:space="preserve">1010 </w:t>
            </w:r>
          </w:p>
        </w:tc>
        <w:tc>
          <w:tcPr>
            <w:tcW w:w="3852" w:type="dxa"/>
            <w:tcBorders>
              <w:top w:val="nil"/>
              <w:left w:val="nil"/>
              <w:bottom w:val="single" w:color="auto" w:sz="4" w:space="0"/>
              <w:right w:val="single" w:color="auto" w:sz="4" w:space="0"/>
            </w:tcBorders>
            <w:shd w:val="clear" w:color="auto" w:fill="FFFFFF"/>
            <w:vAlign w:val="center"/>
          </w:tcPr>
          <w:p w14:paraId="12F7DAB9">
            <w:pPr>
              <w:widowControl/>
              <w:spacing w:after="0" w:line="240" w:lineRule="auto"/>
              <w:jc w:val="center"/>
              <w:rPr>
                <w:kern w:val="0"/>
                <w:sz w:val="24"/>
                <w:szCs w:val="24"/>
              </w:rPr>
            </w:pPr>
            <w:r>
              <w:rPr>
                <w:rFonts w:hint="eastAsia"/>
                <w:kern w:val="0"/>
                <w:sz w:val="24"/>
                <w:szCs w:val="24"/>
              </w:rPr>
              <w:t>8</w:t>
            </w:r>
            <w:r>
              <w:rPr>
                <w:kern w:val="0"/>
                <w:sz w:val="24"/>
                <w:szCs w:val="24"/>
              </w:rPr>
              <w:t>00</w:t>
            </w:r>
          </w:p>
        </w:tc>
      </w:tr>
      <w:tr w14:paraId="0924CA76">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630B85EA">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639DC70A">
            <w:pPr>
              <w:widowControl/>
              <w:spacing w:after="0" w:line="240" w:lineRule="auto"/>
              <w:jc w:val="center"/>
              <w:rPr>
                <w:kern w:val="0"/>
                <w:sz w:val="24"/>
                <w:szCs w:val="24"/>
              </w:rPr>
            </w:pPr>
            <w:r>
              <w:rPr>
                <w:kern w:val="0"/>
                <w:sz w:val="24"/>
                <w:szCs w:val="24"/>
              </w:rPr>
              <w:t>中堂镇</w:t>
            </w:r>
          </w:p>
        </w:tc>
        <w:tc>
          <w:tcPr>
            <w:tcW w:w="3852" w:type="dxa"/>
            <w:tcBorders>
              <w:top w:val="nil"/>
              <w:left w:val="nil"/>
              <w:bottom w:val="single" w:color="auto" w:sz="4" w:space="0"/>
              <w:right w:val="single" w:color="auto" w:sz="4" w:space="0"/>
            </w:tcBorders>
            <w:shd w:val="clear" w:color="auto" w:fill="FFFFFF"/>
            <w:vAlign w:val="center"/>
          </w:tcPr>
          <w:p w14:paraId="3E160604">
            <w:pPr>
              <w:widowControl/>
              <w:spacing w:after="0" w:line="240" w:lineRule="auto"/>
              <w:jc w:val="center"/>
              <w:rPr>
                <w:sz w:val="24"/>
                <w:szCs w:val="24"/>
              </w:rPr>
            </w:pPr>
            <w:r>
              <w:rPr>
                <w:rFonts w:hint="eastAsia"/>
                <w:sz w:val="24"/>
                <w:szCs w:val="24"/>
              </w:rPr>
              <w:t xml:space="preserve">1670 </w:t>
            </w:r>
          </w:p>
        </w:tc>
        <w:tc>
          <w:tcPr>
            <w:tcW w:w="3852" w:type="dxa"/>
            <w:tcBorders>
              <w:top w:val="nil"/>
              <w:left w:val="nil"/>
              <w:bottom w:val="single" w:color="auto" w:sz="4" w:space="0"/>
              <w:right w:val="single" w:color="auto" w:sz="4" w:space="0"/>
            </w:tcBorders>
            <w:shd w:val="clear" w:color="auto" w:fill="FFFFFF"/>
            <w:vAlign w:val="center"/>
          </w:tcPr>
          <w:p w14:paraId="6064E182">
            <w:pPr>
              <w:widowControl/>
              <w:spacing w:after="0" w:line="240" w:lineRule="auto"/>
              <w:jc w:val="center"/>
              <w:rPr>
                <w:kern w:val="0"/>
                <w:sz w:val="24"/>
                <w:szCs w:val="24"/>
              </w:rPr>
            </w:pPr>
            <w:r>
              <w:rPr>
                <w:kern w:val="0"/>
                <w:sz w:val="24"/>
                <w:szCs w:val="24"/>
              </w:rPr>
              <w:t>300</w:t>
            </w:r>
          </w:p>
        </w:tc>
      </w:tr>
      <w:tr w14:paraId="6285EC3B">
        <w:tblPrEx>
          <w:tblCellMar>
            <w:top w:w="0" w:type="dxa"/>
            <w:left w:w="108" w:type="dxa"/>
            <w:bottom w:w="0" w:type="dxa"/>
            <w:right w:w="108" w:type="dxa"/>
          </w:tblCellMar>
        </w:tblPrEx>
        <w:trPr>
          <w:trHeight w:val="247"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3520AA4C">
            <w:pPr>
              <w:widowControl/>
              <w:spacing w:after="0" w:line="240" w:lineRule="auto"/>
              <w:jc w:val="center"/>
              <w:rPr>
                <w:kern w:val="0"/>
                <w:sz w:val="24"/>
                <w:szCs w:val="24"/>
              </w:rPr>
            </w:pPr>
            <w:r>
              <w:rPr>
                <w:kern w:val="0"/>
                <w:sz w:val="24"/>
                <w:szCs w:val="24"/>
              </w:rPr>
              <w:t>东部产业园片区</w:t>
            </w:r>
          </w:p>
        </w:tc>
        <w:tc>
          <w:tcPr>
            <w:tcW w:w="3118" w:type="dxa"/>
            <w:tcBorders>
              <w:top w:val="nil"/>
              <w:left w:val="nil"/>
              <w:bottom w:val="single" w:color="auto" w:sz="4" w:space="0"/>
              <w:right w:val="single" w:color="auto" w:sz="4" w:space="0"/>
            </w:tcBorders>
            <w:shd w:val="clear" w:color="auto" w:fill="FFFFFF"/>
            <w:vAlign w:val="center"/>
          </w:tcPr>
          <w:p w14:paraId="49027C9A">
            <w:pPr>
              <w:widowControl/>
              <w:spacing w:after="0" w:line="240" w:lineRule="auto"/>
              <w:jc w:val="center"/>
              <w:rPr>
                <w:kern w:val="0"/>
                <w:sz w:val="24"/>
                <w:szCs w:val="24"/>
              </w:rPr>
            </w:pPr>
            <w:r>
              <w:rPr>
                <w:kern w:val="0"/>
                <w:sz w:val="24"/>
                <w:szCs w:val="24"/>
              </w:rPr>
              <w:t>常平镇</w:t>
            </w:r>
          </w:p>
        </w:tc>
        <w:tc>
          <w:tcPr>
            <w:tcW w:w="3852" w:type="dxa"/>
            <w:tcBorders>
              <w:top w:val="nil"/>
              <w:left w:val="nil"/>
              <w:bottom w:val="single" w:color="auto" w:sz="4" w:space="0"/>
              <w:right w:val="single" w:color="auto" w:sz="4" w:space="0"/>
            </w:tcBorders>
            <w:shd w:val="clear" w:color="auto" w:fill="FFFFFF"/>
            <w:vAlign w:val="center"/>
          </w:tcPr>
          <w:p w14:paraId="34B6A9FC">
            <w:pPr>
              <w:widowControl/>
              <w:spacing w:after="0" w:line="240" w:lineRule="auto"/>
              <w:jc w:val="center"/>
              <w:rPr>
                <w:sz w:val="24"/>
                <w:szCs w:val="24"/>
              </w:rPr>
            </w:pPr>
            <w:r>
              <w:rPr>
                <w:rFonts w:hint="eastAsia"/>
                <w:sz w:val="24"/>
                <w:szCs w:val="24"/>
              </w:rPr>
              <w:t xml:space="preserve">3080 </w:t>
            </w:r>
          </w:p>
        </w:tc>
        <w:tc>
          <w:tcPr>
            <w:tcW w:w="3852" w:type="dxa"/>
            <w:tcBorders>
              <w:top w:val="nil"/>
              <w:left w:val="nil"/>
              <w:bottom w:val="single" w:color="auto" w:sz="4" w:space="0"/>
              <w:right w:val="single" w:color="auto" w:sz="4" w:space="0"/>
            </w:tcBorders>
            <w:shd w:val="clear" w:color="auto" w:fill="FFFFFF"/>
            <w:vAlign w:val="center"/>
          </w:tcPr>
          <w:p w14:paraId="40B1D01D">
            <w:pPr>
              <w:widowControl/>
              <w:spacing w:after="0" w:line="240" w:lineRule="auto"/>
              <w:jc w:val="center"/>
              <w:rPr>
                <w:kern w:val="0"/>
                <w:sz w:val="24"/>
                <w:szCs w:val="24"/>
              </w:rPr>
            </w:pPr>
            <w:r>
              <w:rPr>
                <w:kern w:val="0"/>
                <w:sz w:val="24"/>
                <w:szCs w:val="24"/>
              </w:rPr>
              <w:t>800</w:t>
            </w:r>
          </w:p>
        </w:tc>
      </w:tr>
      <w:tr w14:paraId="5C9C13DB">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E751E4E">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003C0320">
            <w:pPr>
              <w:widowControl/>
              <w:spacing w:after="0" w:line="240" w:lineRule="auto"/>
              <w:jc w:val="center"/>
              <w:rPr>
                <w:kern w:val="0"/>
                <w:sz w:val="24"/>
                <w:szCs w:val="24"/>
              </w:rPr>
            </w:pPr>
            <w:r>
              <w:rPr>
                <w:kern w:val="0"/>
                <w:sz w:val="24"/>
                <w:szCs w:val="24"/>
              </w:rPr>
              <w:t>横沥镇</w:t>
            </w:r>
          </w:p>
        </w:tc>
        <w:tc>
          <w:tcPr>
            <w:tcW w:w="3852" w:type="dxa"/>
            <w:tcBorders>
              <w:top w:val="nil"/>
              <w:left w:val="nil"/>
              <w:bottom w:val="single" w:color="auto" w:sz="4" w:space="0"/>
              <w:right w:val="single" w:color="auto" w:sz="4" w:space="0"/>
            </w:tcBorders>
            <w:shd w:val="clear" w:color="auto" w:fill="FFFFFF"/>
            <w:vAlign w:val="center"/>
          </w:tcPr>
          <w:p w14:paraId="247AEF9A">
            <w:pPr>
              <w:widowControl/>
              <w:spacing w:after="0" w:line="240" w:lineRule="auto"/>
              <w:jc w:val="center"/>
              <w:rPr>
                <w:sz w:val="24"/>
                <w:szCs w:val="24"/>
              </w:rPr>
            </w:pPr>
            <w:r>
              <w:rPr>
                <w:rFonts w:hint="eastAsia"/>
                <w:sz w:val="24"/>
                <w:szCs w:val="24"/>
              </w:rPr>
              <w:t xml:space="preserve">2200 </w:t>
            </w:r>
          </w:p>
        </w:tc>
        <w:tc>
          <w:tcPr>
            <w:tcW w:w="3852" w:type="dxa"/>
            <w:tcBorders>
              <w:top w:val="nil"/>
              <w:left w:val="nil"/>
              <w:bottom w:val="single" w:color="auto" w:sz="4" w:space="0"/>
              <w:right w:val="single" w:color="auto" w:sz="4" w:space="0"/>
            </w:tcBorders>
            <w:shd w:val="clear" w:color="auto" w:fill="FFFFFF"/>
            <w:vAlign w:val="center"/>
          </w:tcPr>
          <w:p w14:paraId="5D9D6B8C">
            <w:pPr>
              <w:widowControl/>
              <w:spacing w:after="0" w:line="240" w:lineRule="auto"/>
              <w:jc w:val="center"/>
              <w:rPr>
                <w:kern w:val="0"/>
                <w:sz w:val="24"/>
                <w:szCs w:val="24"/>
              </w:rPr>
            </w:pPr>
            <w:r>
              <w:rPr>
                <w:kern w:val="0"/>
                <w:sz w:val="24"/>
                <w:szCs w:val="24"/>
              </w:rPr>
              <w:t>800</w:t>
            </w:r>
          </w:p>
        </w:tc>
      </w:tr>
      <w:tr w14:paraId="2CEDAACC">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20E73AA7">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0AACB989">
            <w:pPr>
              <w:widowControl/>
              <w:spacing w:after="0" w:line="240" w:lineRule="auto"/>
              <w:jc w:val="center"/>
              <w:rPr>
                <w:kern w:val="0"/>
                <w:sz w:val="24"/>
                <w:szCs w:val="24"/>
              </w:rPr>
            </w:pPr>
            <w:r>
              <w:rPr>
                <w:kern w:val="0"/>
                <w:sz w:val="24"/>
                <w:szCs w:val="24"/>
              </w:rPr>
              <w:t>谢岗镇</w:t>
            </w:r>
          </w:p>
        </w:tc>
        <w:tc>
          <w:tcPr>
            <w:tcW w:w="3852" w:type="dxa"/>
            <w:tcBorders>
              <w:top w:val="nil"/>
              <w:left w:val="nil"/>
              <w:bottom w:val="single" w:color="auto" w:sz="4" w:space="0"/>
              <w:right w:val="single" w:color="auto" w:sz="4" w:space="0"/>
            </w:tcBorders>
            <w:shd w:val="clear" w:color="auto" w:fill="FFFFFF"/>
            <w:vAlign w:val="center"/>
          </w:tcPr>
          <w:p w14:paraId="59759592">
            <w:pPr>
              <w:widowControl/>
              <w:spacing w:after="0" w:line="240" w:lineRule="auto"/>
              <w:jc w:val="center"/>
              <w:rPr>
                <w:sz w:val="24"/>
                <w:szCs w:val="24"/>
              </w:rPr>
            </w:pPr>
            <w:r>
              <w:rPr>
                <w:rFonts w:hint="eastAsia"/>
                <w:sz w:val="24"/>
                <w:szCs w:val="24"/>
              </w:rPr>
              <w:t>1390</w:t>
            </w:r>
          </w:p>
        </w:tc>
        <w:tc>
          <w:tcPr>
            <w:tcW w:w="3852" w:type="dxa"/>
            <w:tcBorders>
              <w:top w:val="nil"/>
              <w:left w:val="nil"/>
              <w:bottom w:val="single" w:color="auto" w:sz="4" w:space="0"/>
              <w:right w:val="single" w:color="auto" w:sz="4" w:space="0"/>
            </w:tcBorders>
            <w:shd w:val="clear" w:color="auto" w:fill="FFFFFF"/>
            <w:vAlign w:val="center"/>
          </w:tcPr>
          <w:p w14:paraId="4C26E58D">
            <w:pPr>
              <w:widowControl/>
              <w:spacing w:after="0" w:line="240" w:lineRule="auto"/>
              <w:jc w:val="center"/>
              <w:rPr>
                <w:kern w:val="0"/>
                <w:sz w:val="24"/>
                <w:szCs w:val="24"/>
              </w:rPr>
            </w:pPr>
            <w:r>
              <w:rPr>
                <w:rFonts w:hint="eastAsia"/>
                <w:kern w:val="0"/>
                <w:sz w:val="24"/>
                <w:szCs w:val="24"/>
              </w:rPr>
              <w:t>13</w:t>
            </w:r>
            <w:r>
              <w:rPr>
                <w:kern w:val="0"/>
                <w:sz w:val="24"/>
                <w:szCs w:val="24"/>
              </w:rPr>
              <w:t>00</w:t>
            </w:r>
          </w:p>
        </w:tc>
      </w:tr>
      <w:tr w14:paraId="052A10B8">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595BE589">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18EFD93">
            <w:pPr>
              <w:widowControl/>
              <w:spacing w:after="0" w:line="240" w:lineRule="auto"/>
              <w:jc w:val="center"/>
              <w:rPr>
                <w:kern w:val="0"/>
                <w:sz w:val="24"/>
                <w:szCs w:val="24"/>
              </w:rPr>
            </w:pPr>
            <w:r>
              <w:rPr>
                <w:kern w:val="0"/>
                <w:sz w:val="24"/>
                <w:szCs w:val="24"/>
              </w:rPr>
              <w:t>桥头镇</w:t>
            </w:r>
          </w:p>
        </w:tc>
        <w:tc>
          <w:tcPr>
            <w:tcW w:w="3852" w:type="dxa"/>
            <w:tcBorders>
              <w:top w:val="nil"/>
              <w:left w:val="nil"/>
              <w:bottom w:val="single" w:color="auto" w:sz="4" w:space="0"/>
              <w:right w:val="single" w:color="auto" w:sz="4" w:space="0"/>
            </w:tcBorders>
            <w:shd w:val="clear" w:color="auto" w:fill="FFFFFF"/>
            <w:vAlign w:val="center"/>
          </w:tcPr>
          <w:p w14:paraId="1CD0035A">
            <w:pPr>
              <w:widowControl/>
              <w:spacing w:after="0" w:line="240" w:lineRule="auto"/>
              <w:jc w:val="center"/>
              <w:rPr>
                <w:sz w:val="24"/>
                <w:szCs w:val="24"/>
              </w:rPr>
            </w:pPr>
            <w:r>
              <w:rPr>
                <w:rFonts w:hint="eastAsia"/>
                <w:sz w:val="24"/>
                <w:szCs w:val="24"/>
              </w:rPr>
              <w:t xml:space="preserve">1430 </w:t>
            </w:r>
          </w:p>
        </w:tc>
        <w:tc>
          <w:tcPr>
            <w:tcW w:w="3852" w:type="dxa"/>
            <w:tcBorders>
              <w:top w:val="nil"/>
              <w:left w:val="nil"/>
              <w:bottom w:val="single" w:color="auto" w:sz="4" w:space="0"/>
              <w:right w:val="single" w:color="auto" w:sz="4" w:space="0"/>
            </w:tcBorders>
            <w:shd w:val="clear" w:color="auto" w:fill="FFFFFF"/>
            <w:vAlign w:val="center"/>
          </w:tcPr>
          <w:p w14:paraId="4EA74159">
            <w:pPr>
              <w:widowControl/>
              <w:spacing w:after="0" w:line="240" w:lineRule="auto"/>
              <w:jc w:val="center"/>
              <w:rPr>
                <w:kern w:val="0"/>
                <w:sz w:val="24"/>
                <w:szCs w:val="24"/>
              </w:rPr>
            </w:pPr>
            <w:r>
              <w:rPr>
                <w:kern w:val="0"/>
                <w:sz w:val="24"/>
                <w:szCs w:val="24"/>
              </w:rPr>
              <w:t>800</w:t>
            </w:r>
          </w:p>
        </w:tc>
      </w:tr>
      <w:tr w14:paraId="733340D3">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1589741E">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28CCB213">
            <w:pPr>
              <w:widowControl/>
              <w:spacing w:after="0" w:line="240" w:lineRule="auto"/>
              <w:jc w:val="center"/>
              <w:rPr>
                <w:kern w:val="0"/>
                <w:sz w:val="24"/>
                <w:szCs w:val="24"/>
              </w:rPr>
            </w:pPr>
            <w:r>
              <w:rPr>
                <w:kern w:val="0"/>
                <w:sz w:val="24"/>
                <w:szCs w:val="24"/>
              </w:rPr>
              <w:t>企石镇</w:t>
            </w:r>
          </w:p>
        </w:tc>
        <w:tc>
          <w:tcPr>
            <w:tcW w:w="3852" w:type="dxa"/>
            <w:tcBorders>
              <w:top w:val="nil"/>
              <w:left w:val="nil"/>
              <w:bottom w:val="single" w:color="auto" w:sz="4" w:space="0"/>
              <w:right w:val="single" w:color="auto" w:sz="4" w:space="0"/>
            </w:tcBorders>
            <w:shd w:val="clear" w:color="auto" w:fill="FFFFFF"/>
            <w:vAlign w:val="center"/>
          </w:tcPr>
          <w:p w14:paraId="13CEF84D">
            <w:pPr>
              <w:widowControl/>
              <w:spacing w:after="0" w:line="240" w:lineRule="auto"/>
              <w:jc w:val="center"/>
              <w:rPr>
                <w:sz w:val="24"/>
                <w:szCs w:val="24"/>
              </w:rPr>
            </w:pPr>
            <w:r>
              <w:rPr>
                <w:rFonts w:hint="eastAsia"/>
                <w:sz w:val="24"/>
                <w:szCs w:val="24"/>
              </w:rPr>
              <w:t xml:space="preserve">710 </w:t>
            </w:r>
          </w:p>
        </w:tc>
        <w:tc>
          <w:tcPr>
            <w:tcW w:w="3852" w:type="dxa"/>
            <w:tcBorders>
              <w:top w:val="nil"/>
              <w:left w:val="nil"/>
              <w:bottom w:val="single" w:color="auto" w:sz="4" w:space="0"/>
              <w:right w:val="single" w:color="auto" w:sz="4" w:space="0"/>
            </w:tcBorders>
            <w:shd w:val="clear" w:color="auto" w:fill="FFFFFF"/>
            <w:vAlign w:val="center"/>
          </w:tcPr>
          <w:p w14:paraId="3E1BCCA4">
            <w:pPr>
              <w:widowControl/>
              <w:spacing w:after="0" w:line="240" w:lineRule="auto"/>
              <w:jc w:val="center"/>
              <w:rPr>
                <w:kern w:val="0"/>
                <w:sz w:val="24"/>
                <w:szCs w:val="24"/>
              </w:rPr>
            </w:pPr>
            <w:r>
              <w:rPr>
                <w:kern w:val="0"/>
                <w:sz w:val="24"/>
                <w:szCs w:val="24"/>
              </w:rPr>
              <w:t>700</w:t>
            </w:r>
          </w:p>
        </w:tc>
      </w:tr>
      <w:tr w14:paraId="08D5DB5B">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4141D7E">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2A8A366A">
            <w:pPr>
              <w:widowControl/>
              <w:spacing w:after="0" w:line="240" w:lineRule="auto"/>
              <w:jc w:val="center"/>
              <w:rPr>
                <w:kern w:val="0"/>
                <w:sz w:val="24"/>
                <w:szCs w:val="24"/>
              </w:rPr>
            </w:pPr>
            <w:r>
              <w:rPr>
                <w:kern w:val="0"/>
                <w:sz w:val="24"/>
                <w:szCs w:val="24"/>
              </w:rPr>
              <w:t>石排镇</w:t>
            </w:r>
          </w:p>
        </w:tc>
        <w:tc>
          <w:tcPr>
            <w:tcW w:w="3852" w:type="dxa"/>
            <w:tcBorders>
              <w:top w:val="nil"/>
              <w:left w:val="nil"/>
              <w:bottom w:val="single" w:color="auto" w:sz="4" w:space="0"/>
              <w:right w:val="single" w:color="auto" w:sz="4" w:space="0"/>
            </w:tcBorders>
            <w:shd w:val="clear" w:color="auto" w:fill="FFFFFF"/>
            <w:vAlign w:val="center"/>
          </w:tcPr>
          <w:p w14:paraId="5BC8B036">
            <w:pPr>
              <w:widowControl/>
              <w:spacing w:after="0" w:line="240" w:lineRule="auto"/>
              <w:jc w:val="center"/>
              <w:rPr>
                <w:sz w:val="24"/>
                <w:szCs w:val="24"/>
              </w:rPr>
            </w:pPr>
            <w:r>
              <w:rPr>
                <w:rFonts w:hint="eastAsia"/>
                <w:sz w:val="24"/>
                <w:szCs w:val="24"/>
              </w:rPr>
              <w:t xml:space="preserve">490 </w:t>
            </w:r>
          </w:p>
        </w:tc>
        <w:tc>
          <w:tcPr>
            <w:tcW w:w="3852" w:type="dxa"/>
            <w:tcBorders>
              <w:top w:val="nil"/>
              <w:left w:val="nil"/>
              <w:bottom w:val="single" w:color="auto" w:sz="4" w:space="0"/>
              <w:right w:val="single" w:color="auto" w:sz="4" w:space="0"/>
            </w:tcBorders>
            <w:shd w:val="clear" w:color="auto" w:fill="FFFFFF"/>
            <w:vAlign w:val="center"/>
          </w:tcPr>
          <w:p w14:paraId="355509E9">
            <w:pPr>
              <w:widowControl/>
              <w:spacing w:after="0" w:line="240" w:lineRule="auto"/>
              <w:jc w:val="center"/>
              <w:rPr>
                <w:kern w:val="0"/>
                <w:sz w:val="24"/>
                <w:szCs w:val="24"/>
              </w:rPr>
            </w:pPr>
            <w:r>
              <w:rPr>
                <w:kern w:val="0"/>
                <w:sz w:val="24"/>
                <w:szCs w:val="24"/>
              </w:rPr>
              <w:t>300</w:t>
            </w:r>
          </w:p>
        </w:tc>
      </w:tr>
      <w:tr w14:paraId="09D8A2E7">
        <w:tblPrEx>
          <w:tblCellMar>
            <w:top w:w="0" w:type="dxa"/>
            <w:left w:w="108" w:type="dxa"/>
            <w:bottom w:w="0" w:type="dxa"/>
            <w:right w:w="108" w:type="dxa"/>
          </w:tblCellMar>
        </w:tblPrEx>
        <w:trPr>
          <w:trHeight w:val="247" w:hRule="atLeast"/>
          <w:jc w:val="center"/>
        </w:trPr>
        <w:tc>
          <w:tcPr>
            <w:tcW w:w="1928" w:type="dxa"/>
            <w:vMerge w:val="restart"/>
            <w:tcBorders>
              <w:top w:val="nil"/>
              <w:left w:val="single" w:color="auto" w:sz="4" w:space="0"/>
              <w:bottom w:val="single" w:color="auto" w:sz="4" w:space="0"/>
              <w:right w:val="single" w:color="auto" w:sz="4" w:space="0"/>
            </w:tcBorders>
            <w:shd w:val="clear" w:color="auto" w:fill="FFFFFF"/>
            <w:vAlign w:val="center"/>
          </w:tcPr>
          <w:p w14:paraId="12C63824">
            <w:pPr>
              <w:widowControl/>
              <w:spacing w:after="0" w:line="240" w:lineRule="auto"/>
              <w:jc w:val="center"/>
              <w:rPr>
                <w:kern w:val="0"/>
                <w:sz w:val="24"/>
                <w:szCs w:val="24"/>
              </w:rPr>
            </w:pPr>
            <w:r>
              <w:rPr>
                <w:kern w:val="0"/>
                <w:sz w:val="24"/>
                <w:szCs w:val="24"/>
              </w:rPr>
              <w:t>东南临深片区</w:t>
            </w:r>
          </w:p>
        </w:tc>
        <w:tc>
          <w:tcPr>
            <w:tcW w:w="3118" w:type="dxa"/>
            <w:tcBorders>
              <w:top w:val="nil"/>
              <w:left w:val="nil"/>
              <w:bottom w:val="single" w:color="auto" w:sz="4" w:space="0"/>
              <w:right w:val="single" w:color="auto" w:sz="4" w:space="0"/>
            </w:tcBorders>
            <w:shd w:val="clear" w:color="auto" w:fill="FFFFFF"/>
            <w:vAlign w:val="center"/>
          </w:tcPr>
          <w:p w14:paraId="3B963DBC">
            <w:pPr>
              <w:widowControl/>
              <w:spacing w:after="0" w:line="240" w:lineRule="auto"/>
              <w:jc w:val="center"/>
              <w:rPr>
                <w:kern w:val="0"/>
                <w:sz w:val="24"/>
                <w:szCs w:val="24"/>
              </w:rPr>
            </w:pPr>
            <w:r>
              <w:rPr>
                <w:kern w:val="0"/>
                <w:sz w:val="24"/>
                <w:szCs w:val="24"/>
              </w:rPr>
              <w:t>塘厦镇</w:t>
            </w:r>
          </w:p>
        </w:tc>
        <w:tc>
          <w:tcPr>
            <w:tcW w:w="3852" w:type="dxa"/>
            <w:tcBorders>
              <w:top w:val="nil"/>
              <w:left w:val="nil"/>
              <w:bottom w:val="single" w:color="auto" w:sz="4" w:space="0"/>
              <w:right w:val="single" w:color="auto" w:sz="4" w:space="0"/>
            </w:tcBorders>
            <w:shd w:val="clear" w:color="auto" w:fill="FFFFFF"/>
            <w:vAlign w:val="center"/>
          </w:tcPr>
          <w:p w14:paraId="247420BC">
            <w:pPr>
              <w:widowControl/>
              <w:spacing w:after="0" w:line="240" w:lineRule="auto"/>
              <w:jc w:val="center"/>
              <w:rPr>
                <w:sz w:val="24"/>
                <w:szCs w:val="24"/>
              </w:rPr>
            </w:pPr>
            <w:r>
              <w:rPr>
                <w:rFonts w:hint="eastAsia"/>
                <w:sz w:val="24"/>
                <w:szCs w:val="24"/>
              </w:rPr>
              <w:t xml:space="preserve">5400 </w:t>
            </w:r>
          </w:p>
        </w:tc>
        <w:tc>
          <w:tcPr>
            <w:tcW w:w="3852" w:type="dxa"/>
            <w:tcBorders>
              <w:top w:val="nil"/>
              <w:left w:val="nil"/>
              <w:bottom w:val="single" w:color="auto" w:sz="4" w:space="0"/>
              <w:right w:val="single" w:color="auto" w:sz="4" w:space="0"/>
            </w:tcBorders>
            <w:shd w:val="clear" w:color="auto" w:fill="FFFFFF"/>
            <w:vAlign w:val="center"/>
          </w:tcPr>
          <w:p w14:paraId="439C6B42">
            <w:pPr>
              <w:widowControl/>
              <w:spacing w:after="0" w:line="240" w:lineRule="auto"/>
              <w:jc w:val="center"/>
              <w:rPr>
                <w:kern w:val="0"/>
                <w:sz w:val="24"/>
                <w:szCs w:val="24"/>
              </w:rPr>
            </w:pPr>
            <w:r>
              <w:rPr>
                <w:kern w:val="0"/>
                <w:sz w:val="24"/>
                <w:szCs w:val="24"/>
              </w:rPr>
              <w:t>300</w:t>
            </w:r>
          </w:p>
        </w:tc>
      </w:tr>
      <w:tr w14:paraId="5115505A">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026B6E51">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0AA4C933">
            <w:pPr>
              <w:widowControl/>
              <w:spacing w:after="0" w:line="240" w:lineRule="auto"/>
              <w:jc w:val="center"/>
              <w:rPr>
                <w:kern w:val="0"/>
                <w:sz w:val="24"/>
                <w:szCs w:val="24"/>
              </w:rPr>
            </w:pPr>
            <w:r>
              <w:rPr>
                <w:kern w:val="0"/>
                <w:sz w:val="24"/>
                <w:szCs w:val="24"/>
              </w:rPr>
              <w:t>清溪镇</w:t>
            </w:r>
          </w:p>
        </w:tc>
        <w:tc>
          <w:tcPr>
            <w:tcW w:w="3852" w:type="dxa"/>
            <w:tcBorders>
              <w:top w:val="nil"/>
              <w:left w:val="nil"/>
              <w:bottom w:val="single" w:color="auto" w:sz="4" w:space="0"/>
              <w:right w:val="single" w:color="auto" w:sz="4" w:space="0"/>
            </w:tcBorders>
            <w:shd w:val="clear" w:color="auto" w:fill="FFFFFF"/>
            <w:vAlign w:val="center"/>
          </w:tcPr>
          <w:p w14:paraId="4760D229">
            <w:pPr>
              <w:widowControl/>
              <w:spacing w:after="0" w:line="240" w:lineRule="auto"/>
              <w:jc w:val="center"/>
              <w:rPr>
                <w:sz w:val="24"/>
                <w:szCs w:val="24"/>
              </w:rPr>
            </w:pPr>
            <w:r>
              <w:rPr>
                <w:rFonts w:hint="eastAsia"/>
                <w:sz w:val="24"/>
                <w:szCs w:val="24"/>
              </w:rPr>
              <w:t xml:space="preserve">1860 </w:t>
            </w:r>
          </w:p>
        </w:tc>
        <w:tc>
          <w:tcPr>
            <w:tcW w:w="3852" w:type="dxa"/>
            <w:tcBorders>
              <w:top w:val="nil"/>
              <w:left w:val="nil"/>
              <w:bottom w:val="single" w:color="auto" w:sz="4" w:space="0"/>
              <w:right w:val="single" w:color="auto" w:sz="4" w:space="0"/>
            </w:tcBorders>
            <w:shd w:val="clear" w:color="auto" w:fill="FFFFFF"/>
            <w:vAlign w:val="center"/>
          </w:tcPr>
          <w:p w14:paraId="39024E3B">
            <w:pPr>
              <w:widowControl/>
              <w:spacing w:after="0" w:line="240" w:lineRule="auto"/>
              <w:jc w:val="center"/>
              <w:rPr>
                <w:kern w:val="0"/>
                <w:sz w:val="24"/>
                <w:szCs w:val="24"/>
              </w:rPr>
            </w:pPr>
            <w:r>
              <w:rPr>
                <w:kern w:val="0"/>
                <w:sz w:val="24"/>
                <w:szCs w:val="24"/>
              </w:rPr>
              <w:t>500</w:t>
            </w:r>
          </w:p>
        </w:tc>
      </w:tr>
      <w:tr w14:paraId="1A17BFDC">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7E92B2EC">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1B119DBC">
            <w:pPr>
              <w:widowControl/>
              <w:spacing w:after="0" w:line="240" w:lineRule="auto"/>
              <w:jc w:val="center"/>
              <w:rPr>
                <w:kern w:val="0"/>
                <w:sz w:val="24"/>
                <w:szCs w:val="24"/>
              </w:rPr>
            </w:pPr>
            <w:r>
              <w:rPr>
                <w:kern w:val="0"/>
                <w:sz w:val="24"/>
                <w:szCs w:val="24"/>
              </w:rPr>
              <w:t>凤岗镇</w:t>
            </w:r>
          </w:p>
        </w:tc>
        <w:tc>
          <w:tcPr>
            <w:tcW w:w="3852" w:type="dxa"/>
            <w:tcBorders>
              <w:top w:val="nil"/>
              <w:left w:val="nil"/>
              <w:bottom w:val="single" w:color="auto" w:sz="4" w:space="0"/>
              <w:right w:val="single" w:color="auto" w:sz="4" w:space="0"/>
            </w:tcBorders>
            <w:shd w:val="clear" w:color="auto" w:fill="FFFFFF"/>
            <w:vAlign w:val="center"/>
          </w:tcPr>
          <w:p w14:paraId="5F99C6E4">
            <w:pPr>
              <w:widowControl/>
              <w:spacing w:after="0" w:line="240" w:lineRule="auto"/>
              <w:jc w:val="center"/>
              <w:rPr>
                <w:sz w:val="24"/>
                <w:szCs w:val="24"/>
              </w:rPr>
            </w:pPr>
            <w:r>
              <w:rPr>
                <w:rFonts w:hint="eastAsia"/>
                <w:sz w:val="24"/>
                <w:szCs w:val="24"/>
              </w:rPr>
              <w:t xml:space="preserve">5420 </w:t>
            </w:r>
          </w:p>
        </w:tc>
        <w:tc>
          <w:tcPr>
            <w:tcW w:w="3852" w:type="dxa"/>
            <w:tcBorders>
              <w:top w:val="nil"/>
              <w:left w:val="nil"/>
              <w:bottom w:val="single" w:color="auto" w:sz="4" w:space="0"/>
              <w:right w:val="single" w:color="auto" w:sz="4" w:space="0"/>
            </w:tcBorders>
            <w:shd w:val="clear" w:color="auto" w:fill="FFFFFF"/>
            <w:vAlign w:val="center"/>
          </w:tcPr>
          <w:p w14:paraId="6504A1EC">
            <w:pPr>
              <w:widowControl/>
              <w:spacing w:after="0" w:line="240" w:lineRule="auto"/>
              <w:jc w:val="center"/>
              <w:rPr>
                <w:kern w:val="0"/>
                <w:sz w:val="24"/>
                <w:szCs w:val="24"/>
              </w:rPr>
            </w:pPr>
            <w:r>
              <w:rPr>
                <w:kern w:val="0"/>
                <w:sz w:val="24"/>
                <w:szCs w:val="24"/>
              </w:rPr>
              <w:t>300</w:t>
            </w:r>
          </w:p>
        </w:tc>
      </w:tr>
      <w:tr w14:paraId="668FCD0C">
        <w:tblPrEx>
          <w:tblCellMar>
            <w:top w:w="0" w:type="dxa"/>
            <w:left w:w="108" w:type="dxa"/>
            <w:bottom w:w="0" w:type="dxa"/>
            <w:right w:w="108" w:type="dxa"/>
          </w:tblCellMar>
        </w:tblPrEx>
        <w:trPr>
          <w:trHeight w:val="247" w:hRule="atLeast"/>
          <w:jc w:val="center"/>
        </w:trPr>
        <w:tc>
          <w:tcPr>
            <w:tcW w:w="1928" w:type="dxa"/>
            <w:vMerge w:val="continue"/>
            <w:tcBorders>
              <w:top w:val="nil"/>
              <w:left w:val="single" w:color="auto" w:sz="4" w:space="0"/>
              <w:bottom w:val="single" w:color="auto" w:sz="4" w:space="0"/>
              <w:right w:val="single" w:color="auto" w:sz="4" w:space="0"/>
            </w:tcBorders>
            <w:shd w:val="clear" w:color="auto" w:fill="FFFFFF"/>
            <w:vAlign w:val="center"/>
          </w:tcPr>
          <w:p w14:paraId="3893C039">
            <w:pPr>
              <w:widowControl/>
              <w:spacing w:after="0" w:line="240" w:lineRule="auto"/>
              <w:jc w:val="center"/>
              <w:rPr>
                <w:kern w:val="0"/>
                <w:sz w:val="24"/>
                <w:szCs w:val="24"/>
              </w:rPr>
            </w:pPr>
          </w:p>
        </w:tc>
        <w:tc>
          <w:tcPr>
            <w:tcW w:w="3118" w:type="dxa"/>
            <w:tcBorders>
              <w:top w:val="nil"/>
              <w:left w:val="nil"/>
              <w:bottom w:val="single" w:color="auto" w:sz="4" w:space="0"/>
              <w:right w:val="single" w:color="auto" w:sz="4" w:space="0"/>
            </w:tcBorders>
            <w:shd w:val="clear" w:color="auto" w:fill="FFFFFF"/>
            <w:vAlign w:val="center"/>
          </w:tcPr>
          <w:p w14:paraId="5DC0EB53">
            <w:pPr>
              <w:widowControl/>
              <w:spacing w:after="0" w:line="240" w:lineRule="auto"/>
              <w:jc w:val="center"/>
              <w:rPr>
                <w:kern w:val="0"/>
                <w:sz w:val="24"/>
                <w:szCs w:val="24"/>
              </w:rPr>
            </w:pPr>
            <w:r>
              <w:rPr>
                <w:kern w:val="0"/>
                <w:sz w:val="24"/>
                <w:szCs w:val="24"/>
              </w:rPr>
              <w:t>樟木头镇</w:t>
            </w:r>
          </w:p>
        </w:tc>
        <w:tc>
          <w:tcPr>
            <w:tcW w:w="3852" w:type="dxa"/>
            <w:tcBorders>
              <w:top w:val="nil"/>
              <w:left w:val="nil"/>
              <w:bottom w:val="single" w:color="auto" w:sz="4" w:space="0"/>
              <w:right w:val="single" w:color="auto" w:sz="4" w:space="0"/>
            </w:tcBorders>
            <w:shd w:val="clear" w:color="auto" w:fill="FFFFFF"/>
            <w:vAlign w:val="center"/>
          </w:tcPr>
          <w:p w14:paraId="059FA808">
            <w:pPr>
              <w:widowControl/>
              <w:spacing w:after="0" w:line="240" w:lineRule="auto"/>
              <w:jc w:val="center"/>
              <w:rPr>
                <w:sz w:val="24"/>
                <w:szCs w:val="24"/>
              </w:rPr>
            </w:pPr>
            <w:r>
              <w:rPr>
                <w:rFonts w:hint="eastAsia"/>
                <w:sz w:val="24"/>
                <w:szCs w:val="24"/>
              </w:rPr>
              <w:t xml:space="preserve">2120 </w:t>
            </w:r>
          </w:p>
        </w:tc>
        <w:tc>
          <w:tcPr>
            <w:tcW w:w="3852" w:type="dxa"/>
            <w:tcBorders>
              <w:top w:val="nil"/>
              <w:left w:val="nil"/>
              <w:bottom w:val="single" w:color="auto" w:sz="4" w:space="0"/>
              <w:right w:val="single" w:color="auto" w:sz="4" w:space="0"/>
            </w:tcBorders>
            <w:shd w:val="clear" w:color="auto" w:fill="FFFFFF"/>
            <w:vAlign w:val="center"/>
          </w:tcPr>
          <w:p w14:paraId="7DCB17A4">
            <w:pPr>
              <w:widowControl/>
              <w:spacing w:after="0" w:line="240" w:lineRule="auto"/>
              <w:jc w:val="center"/>
              <w:rPr>
                <w:kern w:val="0"/>
                <w:sz w:val="24"/>
                <w:szCs w:val="24"/>
              </w:rPr>
            </w:pPr>
            <w:r>
              <w:rPr>
                <w:sz w:val="24"/>
                <w:szCs w:val="24"/>
              </w:rPr>
              <w:t>300</w:t>
            </w:r>
          </w:p>
        </w:tc>
      </w:tr>
      <w:bookmarkEnd w:id="9"/>
    </w:tbl>
    <w:p w14:paraId="0157909A">
      <w:pPr>
        <w:pStyle w:val="41"/>
        <w:spacing w:after="0" w:line="360" w:lineRule="auto"/>
        <w:rPr>
          <w:rFonts w:cs="Times New Roman"/>
        </w:rPr>
      </w:pPr>
      <w:r>
        <w:rPr>
          <w:rFonts w:cs="Times New Roman"/>
        </w:rPr>
        <w:t>表</w:t>
      </w:r>
      <w:r>
        <w:rPr>
          <w:rFonts w:hint="eastAsia" w:cs="Times New Roman"/>
        </w:rPr>
        <w:t xml:space="preserve">5 </w:t>
      </w:r>
      <w:r>
        <w:rPr>
          <w:rFonts w:cs="Times New Roman"/>
        </w:rPr>
        <w:t>东莞市住房发展</w:t>
      </w:r>
      <w:r>
        <w:rPr>
          <w:rFonts w:ascii="黑体" w:hAnsi="黑体" w:cs="黑体"/>
        </w:rPr>
        <w:t>“</w:t>
      </w:r>
      <w:r>
        <w:rPr>
          <w:rFonts w:cs="Times New Roman"/>
        </w:rPr>
        <w:t>十五五</w:t>
      </w:r>
      <w:r>
        <w:rPr>
          <w:rFonts w:ascii="黑体" w:hAnsi="黑体" w:cs="黑体"/>
        </w:rPr>
        <w:t>”</w:t>
      </w:r>
      <w:r>
        <w:rPr>
          <w:rFonts w:cs="Times New Roman"/>
        </w:rPr>
        <w:t>规划重点项目</w:t>
      </w:r>
    </w:p>
    <w:tbl>
      <w:tblPr>
        <w:tblStyle w:val="29"/>
        <w:tblW w:w="132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
        <w:gridCol w:w="2186"/>
        <w:gridCol w:w="4985"/>
        <w:gridCol w:w="1278"/>
        <w:gridCol w:w="1559"/>
        <w:gridCol w:w="1223"/>
        <w:gridCol w:w="1530"/>
      </w:tblGrid>
      <w:tr w14:paraId="3582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blHeader/>
        </w:trPr>
        <w:tc>
          <w:tcPr>
            <w:tcW w:w="510" w:type="dxa"/>
            <w:vAlign w:val="center"/>
          </w:tcPr>
          <w:p w14:paraId="22573841">
            <w:pPr>
              <w:widowControl/>
              <w:spacing w:after="0" w:line="240" w:lineRule="auto"/>
              <w:jc w:val="center"/>
              <w:rPr>
                <w:b/>
                <w:bCs/>
                <w:kern w:val="0"/>
                <w:sz w:val="24"/>
                <w:szCs w:val="24"/>
              </w:rPr>
            </w:pPr>
            <w:r>
              <w:rPr>
                <w:b/>
                <w:bCs/>
                <w:kern w:val="0"/>
                <w:sz w:val="24"/>
                <w:szCs w:val="24"/>
              </w:rPr>
              <w:t>序号</w:t>
            </w:r>
          </w:p>
        </w:tc>
        <w:tc>
          <w:tcPr>
            <w:tcW w:w="2186" w:type="dxa"/>
            <w:vAlign w:val="center"/>
          </w:tcPr>
          <w:p w14:paraId="76216281">
            <w:pPr>
              <w:widowControl/>
              <w:spacing w:after="0" w:line="240" w:lineRule="auto"/>
              <w:jc w:val="center"/>
              <w:rPr>
                <w:b/>
                <w:bCs/>
                <w:kern w:val="0"/>
                <w:sz w:val="24"/>
                <w:szCs w:val="24"/>
              </w:rPr>
            </w:pPr>
            <w:r>
              <w:rPr>
                <w:b/>
                <w:bCs/>
                <w:kern w:val="0"/>
                <w:sz w:val="24"/>
                <w:szCs w:val="24"/>
              </w:rPr>
              <w:t>项目名称</w:t>
            </w:r>
          </w:p>
        </w:tc>
        <w:tc>
          <w:tcPr>
            <w:tcW w:w="4985" w:type="dxa"/>
            <w:vAlign w:val="center"/>
          </w:tcPr>
          <w:p w14:paraId="69EB7945">
            <w:pPr>
              <w:widowControl/>
              <w:spacing w:after="0" w:line="240" w:lineRule="auto"/>
              <w:jc w:val="center"/>
              <w:rPr>
                <w:b/>
                <w:bCs/>
                <w:kern w:val="0"/>
                <w:sz w:val="24"/>
                <w:szCs w:val="24"/>
              </w:rPr>
            </w:pPr>
            <w:r>
              <w:rPr>
                <w:b/>
                <w:bCs/>
                <w:kern w:val="0"/>
                <w:sz w:val="24"/>
                <w:szCs w:val="24"/>
              </w:rPr>
              <w:t>主要建设内容及规模</w:t>
            </w:r>
          </w:p>
        </w:tc>
        <w:tc>
          <w:tcPr>
            <w:tcW w:w="1278" w:type="dxa"/>
            <w:vAlign w:val="center"/>
          </w:tcPr>
          <w:p w14:paraId="7A6981FF">
            <w:pPr>
              <w:widowControl/>
              <w:spacing w:after="0" w:line="240" w:lineRule="auto"/>
              <w:jc w:val="center"/>
              <w:rPr>
                <w:b/>
                <w:bCs/>
                <w:kern w:val="0"/>
                <w:sz w:val="24"/>
                <w:szCs w:val="24"/>
              </w:rPr>
            </w:pPr>
            <w:r>
              <w:rPr>
                <w:b/>
                <w:bCs/>
                <w:kern w:val="0"/>
                <w:sz w:val="24"/>
                <w:szCs w:val="24"/>
              </w:rPr>
              <w:t>建设起止年限</w:t>
            </w:r>
          </w:p>
        </w:tc>
        <w:tc>
          <w:tcPr>
            <w:tcW w:w="1559" w:type="dxa"/>
            <w:vAlign w:val="center"/>
          </w:tcPr>
          <w:p w14:paraId="545F6C77">
            <w:pPr>
              <w:spacing w:after="0" w:line="240" w:lineRule="auto"/>
              <w:jc w:val="center"/>
              <w:rPr>
                <w:b/>
                <w:bCs/>
                <w:kern w:val="0"/>
                <w:sz w:val="24"/>
                <w:szCs w:val="24"/>
              </w:rPr>
            </w:pPr>
            <w:r>
              <w:rPr>
                <w:rFonts w:ascii="仿宋_GB2312" w:hAnsi="仿宋_GB2312" w:cs="仿宋_GB2312"/>
                <w:b/>
                <w:bCs/>
                <w:kern w:val="0"/>
                <w:sz w:val="24"/>
                <w:szCs w:val="24"/>
              </w:rPr>
              <w:t>“</w:t>
            </w:r>
            <w:r>
              <w:rPr>
                <w:b/>
                <w:bCs/>
                <w:kern w:val="0"/>
                <w:sz w:val="24"/>
                <w:szCs w:val="24"/>
              </w:rPr>
              <w:t>十五五</w:t>
            </w:r>
            <w:r>
              <w:rPr>
                <w:rFonts w:ascii="仿宋_GB2312" w:hAnsi="仿宋_GB2312" w:cs="仿宋_GB2312"/>
                <w:b/>
                <w:bCs/>
                <w:kern w:val="0"/>
                <w:sz w:val="24"/>
                <w:szCs w:val="24"/>
              </w:rPr>
              <w:t>”</w:t>
            </w:r>
            <w:r>
              <w:rPr>
                <w:b/>
                <w:bCs/>
                <w:kern w:val="0"/>
                <w:sz w:val="24"/>
                <w:szCs w:val="24"/>
              </w:rPr>
              <w:t>期间计划投资（亿元）</w:t>
            </w:r>
          </w:p>
        </w:tc>
        <w:tc>
          <w:tcPr>
            <w:tcW w:w="1223" w:type="dxa"/>
            <w:vAlign w:val="center"/>
          </w:tcPr>
          <w:p w14:paraId="3C03E747">
            <w:pPr>
              <w:widowControl/>
              <w:spacing w:after="0" w:line="240" w:lineRule="auto"/>
              <w:jc w:val="center"/>
              <w:rPr>
                <w:b/>
                <w:bCs/>
                <w:kern w:val="0"/>
                <w:sz w:val="24"/>
                <w:szCs w:val="24"/>
              </w:rPr>
            </w:pPr>
            <w:r>
              <w:rPr>
                <w:b/>
                <w:bCs/>
                <w:kern w:val="0"/>
                <w:sz w:val="24"/>
                <w:szCs w:val="24"/>
              </w:rPr>
              <w:t>建设</w:t>
            </w:r>
          </w:p>
          <w:p w14:paraId="7DF885CA">
            <w:pPr>
              <w:widowControl/>
              <w:spacing w:after="0" w:line="240" w:lineRule="auto"/>
              <w:jc w:val="center"/>
              <w:rPr>
                <w:b/>
                <w:bCs/>
                <w:kern w:val="0"/>
                <w:sz w:val="24"/>
                <w:szCs w:val="24"/>
              </w:rPr>
            </w:pPr>
            <w:r>
              <w:rPr>
                <w:b/>
                <w:bCs/>
                <w:kern w:val="0"/>
                <w:sz w:val="24"/>
                <w:szCs w:val="24"/>
              </w:rPr>
              <w:t>地点</w:t>
            </w:r>
          </w:p>
        </w:tc>
        <w:tc>
          <w:tcPr>
            <w:tcW w:w="1530" w:type="dxa"/>
            <w:vAlign w:val="center"/>
          </w:tcPr>
          <w:p w14:paraId="324730CE">
            <w:pPr>
              <w:widowControl/>
              <w:spacing w:after="0" w:line="240" w:lineRule="auto"/>
              <w:jc w:val="center"/>
              <w:rPr>
                <w:b/>
                <w:bCs/>
                <w:kern w:val="0"/>
                <w:sz w:val="24"/>
                <w:szCs w:val="24"/>
              </w:rPr>
            </w:pPr>
            <w:r>
              <w:rPr>
                <w:b/>
                <w:bCs/>
                <w:kern w:val="0"/>
                <w:sz w:val="24"/>
                <w:szCs w:val="24"/>
              </w:rPr>
              <w:t>项目建设</w:t>
            </w:r>
          </w:p>
          <w:p w14:paraId="6E3282AA">
            <w:pPr>
              <w:widowControl/>
              <w:spacing w:after="0" w:line="240" w:lineRule="auto"/>
              <w:jc w:val="center"/>
              <w:rPr>
                <w:b/>
                <w:bCs/>
                <w:kern w:val="0"/>
                <w:sz w:val="24"/>
                <w:szCs w:val="24"/>
              </w:rPr>
            </w:pPr>
            <w:r>
              <w:rPr>
                <w:b/>
                <w:bCs/>
                <w:kern w:val="0"/>
                <w:sz w:val="24"/>
                <w:szCs w:val="24"/>
              </w:rPr>
              <w:t>单位</w:t>
            </w:r>
          </w:p>
        </w:tc>
      </w:tr>
      <w:tr w14:paraId="2585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trPr>
        <w:tc>
          <w:tcPr>
            <w:tcW w:w="510" w:type="dxa"/>
            <w:vAlign w:val="center"/>
          </w:tcPr>
          <w:p w14:paraId="70D500FC">
            <w:pPr>
              <w:widowControl/>
              <w:spacing w:after="0" w:line="240" w:lineRule="auto"/>
              <w:jc w:val="center"/>
              <w:rPr>
                <w:kern w:val="0"/>
                <w:sz w:val="24"/>
                <w:szCs w:val="24"/>
              </w:rPr>
            </w:pPr>
            <w:r>
              <w:rPr>
                <w:kern w:val="0"/>
                <w:sz w:val="24"/>
                <w:szCs w:val="24"/>
              </w:rPr>
              <w:t>1</w:t>
            </w:r>
          </w:p>
        </w:tc>
        <w:tc>
          <w:tcPr>
            <w:tcW w:w="2186" w:type="dxa"/>
            <w:vAlign w:val="center"/>
          </w:tcPr>
          <w:p w14:paraId="3D1E10E8">
            <w:pPr>
              <w:widowControl/>
              <w:spacing w:after="0" w:line="240" w:lineRule="auto"/>
              <w:jc w:val="center"/>
              <w:rPr>
                <w:kern w:val="0"/>
                <w:sz w:val="24"/>
                <w:szCs w:val="24"/>
              </w:rPr>
            </w:pPr>
            <w:r>
              <w:rPr>
                <w:kern w:val="0"/>
                <w:sz w:val="24"/>
                <w:szCs w:val="24"/>
              </w:rPr>
              <w:t>厚街镇厚山保障性租赁住房及配套设施建设项目（一期）</w:t>
            </w:r>
          </w:p>
        </w:tc>
        <w:tc>
          <w:tcPr>
            <w:tcW w:w="4985" w:type="dxa"/>
            <w:vAlign w:val="center"/>
          </w:tcPr>
          <w:p w14:paraId="4208A4A1">
            <w:pPr>
              <w:widowControl/>
              <w:spacing w:after="0" w:line="240" w:lineRule="auto"/>
              <w:jc w:val="left"/>
              <w:rPr>
                <w:kern w:val="0"/>
                <w:sz w:val="24"/>
                <w:szCs w:val="24"/>
              </w:rPr>
            </w:pPr>
            <w:r>
              <w:rPr>
                <w:kern w:val="0"/>
                <w:sz w:val="24"/>
                <w:szCs w:val="24"/>
              </w:rPr>
              <w:t>用地面积约34035平方米，</w:t>
            </w:r>
            <w:r>
              <w:rPr>
                <w:rFonts w:hint="eastAsia"/>
                <w:kern w:val="0"/>
                <w:sz w:val="24"/>
                <w:szCs w:val="24"/>
                <w:lang w:eastAsia="zh-CN"/>
              </w:rPr>
              <w:t>总</w:t>
            </w:r>
            <w:r>
              <w:rPr>
                <w:kern w:val="0"/>
                <w:sz w:val="24"/>
                <w:szCs w:val="24"/>
              </w:rPr>
              <w:t>建筑面积约140791平方米，</w:t>
            </w:r>
            <w:r>
              <w:rPr>
                <w:rFonts w:hint="eastAsia"/>
                <w:kern w:val="0"/>
                <w:sz w:val="24"/>
                <w:szCs w:val="24"/>
                <w:lang w:eastAsia="zh-CN"/>
              </w:rPr>
              <w:t>建设</w:t>
            </w:r>
            <w:r>
              <w:rPr>
                <w:kern w:val="0"/>
                <w:sz w:val="24"/>
                <w:szCs w:val="24"/>
              </w:rPr>
              <w:t>保障性租赁住房2444套。</w:t>
            </w:r>
          </w:p>
        </w:tc>
        <w:tc>
          <w:tcPr>
            <w:tcW w:w="1278" w:type="dxa"/>
            <w:vAlign w:val="center"/>
          </w:tcPr>
          <w:p w14:paraId="7B4FB26F">
            <w:pPr>
              <w:widowControl/>
              <w:spacing w:after="0" w:line="240" w:lineRule="auto"/>
              <w:jc w:val="center"/>
              <w:rPr>
                <w:kern w:val="0"/>
                <w:sz w:val="24"/>
                <w:szCs w:val="24"/>
              </w:rPr>
            </w:pPr>
            <w:r>
              <w:rPr>
                <w:kern w:val="0"/>
                <w:sz w:val="24"/>
                <w:szCs w:val="24"/>
              </w:rPr>
              <w:t>2024-202</w:t>
            </w:r>
            <w:r>
              <w:rPr>
                <w:rFonts w:hint="eastAsia"/>
                <w:kern w:val="0"/>
                <w:sz w:val="24"/>
                <w:szCs w:val="24"/>
                <w:lang w:val="en-US" w:eastAsia="zh-CN"/>
              </w:rPr>
              <w:t>7</w:t>
            </w:r>
          </w:p>
        </w:tc>
        <w:tc>
          <w:tcPr>
            <w:tcW w:w="1559" w:type="dxa"/>
            <w:vAlign w:val="center"/>
          </w:tcPr>
          <w:p w14:paraId="6D9825E6">
            <w:pPr>
              <w:widowControl/>
              <w:spacing w:after="0" w:line="240" w:lineRule="auto"/>
              <w:jc w:val="center"/>
              <w:rPr>
                <w:kern w:val="0"/>
                <w:sz w:val="24"/>
                <w:szCs w:val="24"/>
              </w:rPr>
            </w:pPr>
            <w:r>
              <w:rPr>
                <w:rFonts w:hint="eastAsia"/>
                <w:kern w:val="0"/>
                <w:sz w:val="24"/>
                <w:szCs w:val="24"/>
                <w:lang w:val="en-US" w:eastAsia="zh-CN"/>
              </w:rPr>
              <w:t>4.48</w:t>
            </w:r>
            <w:r>
              <w:rPr>
                <w:kern w:val="0"/>
                <w:sz w:val="24"/>
                <w:szCs w:val="24"/>
              </w:rPr>
              <w:t xml:space="preserve"> </w:t>
            </w:r>
          </w:p>
        </w:tc>
        <w:tc>
          <w:tcPr>
            <w:tcW w:w="1223" w:type="dxa"/>
            <w:vAlign w:val="center"/>
          </w:tcPr>
          <w:p w14:paraId="3DEA92B8">
            <w:pPr>
              <w:widowControl/>
              <w:spacing w:after="0" w:line="240" w:lineRule="auto"/>
              <w:jc w:val="center"/>
              <w:rPr>
                <w:kern w:val="0"/>
                <w:sz w:val="24"/>
                <w:szCs w:val="24"/>
              </w:rPr>
            </w:pPr>
            <w:r>
              <w:rPr>
                <w:kern w:val="0"/>
                <w:sz w:val="24"/>
                <w:szCs w:val="24"/>
              </w:rPr>
              <w:t>厚街镇</w:t>
            </w:r>
          </w:p>
        </w:tc>
        <w:tc>
          <w:tcPr>
            <w:tcW w:w="1530" w:type="dxa"/>
            <w:vAlign w:val="center"/>
          </w:tcPr>
          <w:p w14:paraId="489B862C">
            <w:pPr>
              <w:widowControl/>
              <w:spacing w:after="0" w:line="240" w:lineRule="auto"/>
              <w:jc w:val="center"/>
              <w:rPr>
                <w:kern w:val="0"/>
                <w:sz w:val="24"/>
                <w:szCs w:val="24"/>
              </w:rPr>
            </w:pPr>
            <w:r>
              <w:rPr>
                <w:kern w:val="0"/>
                <w:sz w:val="24"/>
                <w:szCs w:val="24"/>
              </w:rPr>
              <w:t>东莞市厚街镇工程建设中心</w:t>
            </w:r>
          </w:p>
        </w:tc>
      </w:tr>
      <w:tr w14:paraId="39E8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510" w:type="dxa"/>
            <w:vAlign w:val="center"/>
          </w:tcPr>
          <w:p w14:paraId="67B8821F">
            <w:pPr>
              <w:widowControl/>
              <w:spacing w:after="0" w:line="240" w:lineRule="auto"/>
              <w:jc w:val="center"/>
              <w:rPr>
                <w:kern w:val="0"/>
                <w:sz w:val="24"/>
                <w:szCs w:val="24"/>
              </w:rPr>
            </w:pPr>
            <w:r>
              <w:rPr>
                <w:kern w:val="0"/>
                <w:sz w:val="24"/>
                <w:szCs w:val="24"/>
              </w:rPr>
              <w:t>2</w:t>
            </w:r>
          </w:p>
        </w:tc>
        <w:tc>
          <w:tcPr>
            <w:tcW w:w="2186" w:type="dxa"/>
            <w:vAlign w:val="center"/>
          </w:tcPr>
          <w:p w14:paraId="5A98E67B">
            <w:pPr>
              <w:widowControl/>
              <w:spacing w:after="0" w:line="240" w:lineRule="auto"/>
              <w:jc w:val="center"/>
              <w:rPr>
                <w:kern w:val="0"/>
                <w:sz w:val="24"/>
                <w:szCs w:val="24"/>
              </w:rPr>
            </w:pPr>
            <w:r>
              <w:rPr>
                <w:kern w:val="0"/>
                <w:sz w:val="24"/>
                <w:szCs w:val="24"/>
              </w:rPr>
              <w:t>寮步镇香城保障性租赁住房项目</w:t>
            </w:r>
          </w:p>
        </w:tc>
        <w:tc>
          <w:tcPr>
            <w:tcW w:w="4985" w:type="dxa"/>
            <w:vAlign w:val="center"/>
          </w:tcPr>
          <w:p w14:paraId="2DF6B28B">
            <w:pPr>
              <w:widowControl/>
              <w:spacing w:after="0" w:line="240" w:lineRule="auto"/>
              <w:jc w:val="left"/>
              <w:rPr>
                <w:kern w:val="0"/>
                <w:sz w:val="24"/>
                <w:szCs w:val="24"/>
              </w:rPr>
            </w:pPr>
            <w:r>
              <w:rPr>
                <w:kern w:val="0"/>
                <w:sz w:val="24"/>
                <w:szCs w:val="24"/>
              </w:rPr>
              <w:t>用地面积22686.07平方米，</w:t>
            </w:r>
            <w:r>
              <w:rPr>
                <w:rFonts w:hint="eastAsia"/>
                <w:kern w:val="0"/>
                <w:sz w:val="24"/>
                <w:szCs w:val="24"/>
                <w:lang w:eastAsia="zh-CN"/>
              </w:rPr>
              <w:t>总</w:t>
            </w:r>
            <w:r>
              <w:rPr>
                <w:kern w:val="0"/>
                <w:sz w:val="24"/>
                <w:szCs w:val="24"/>
              </w:rPr>
              <w:t>建筑面积115447.3平方米，</w:t>
            </w:r>
            <w:r>
              <w:rPr>
                <w:rFonts w:hint="eastAsia"/>
                <w:kern w:val="0"/>
                <w:sz w:val="24"/>
                <w:szCs w:val="24"/>
                <w:lang w:eastAsia="zh-CN"/>
              </w:rPr>
              <w:t>建设</w:t>
            </w:r>
            <w:r>
              <w:rPr>
                <w:kern w:val="0"/>
                <w:sz w:val="24"/>
                <w:szCs w:val="24"/>
              </w:rPr>
              <w:t>保障性租赁住房1467套。</w:t>
            </w:r>
          </w:p>
        </w:tc>
        <w:tc>
          <w:tcPr>
            <w:tcW w:w="1278" w:type="dxa"/>
            <w:vAlign w:val="center"/>
          </w:tcPr>
          <w:p w14:paraId="6F0D62AD">
            <w:pPr>
              <w:widowControl/>
              <w:spacing w:after="0" w:line="240" w:lineRule="auto"/>
              <w:jc w:val="center"/>
              <w:rPr>
                <w:kern w:val="0"/>
                <w:sz w:val="24"/>
                <w:szCs w:val="24"/>
              </w:rPr>
            </w:pPr>
            <w:r>
              <w:rPr>
                <w:kern w:val="0"/>
                <w:sz w:val="24"/>
                <w:szCs w:val="24"/>
              </w:rPr>
              <w:t>2025-2028</w:t>
            </w:r>
          </w:p>
        </w:tc>
        <w:tc>
          <w:tcPr>
            <w:tcW w:w="1559" w:type="dxa"/>
            <w:vAlign w:val="center"/>
          </w:tcPr>
          <w:p w14:paraId="0339A06B">
            <w:pPr>
              <w:widowControl/>
              <w:spacing w:after="0" w:line="240" w:lineRule="auto"/>
              <w:jc w:val="center"/>
              <w:rPr>
                <w:kern w:val="0"/>
                <w:sz w:val="24"/>
                <w:szCs w:val="24"/>
              </w:rPr>
            </w:pPr>
            <w:r>
              <w:rPr>
                <w:rFonts w:hint="eastAsia"/>
                <w:kern w:val="0"/>
                <w:sz w:val="24"/>
                <w:szCs w:val="24"/>
                <w:lang w:val="en-US" w:eastAsia="zh-CN"/>
              </w:rPr>
              <w:t>3.12</w:t>
            </w:r>
            <w:r>
              <w:rPr>
                <w:kern w:val="0"/>
                <w:sz w:val="24"/>
                <w:szCs w:val="24"/>
              </w:rPr>
              <w:t xml:space="preserve"> </w:t>
            </w:r>
          </w:p>
        </w:tc>
        <w:tc>
          <w:tcPr>
            <w:tcW w:w="1223" w:type="dxa"/>
            <w:vAlign w:val="center"/>
          </w:tcPr>
          <w:p w14:paraId="05255294">
            <w:pPr>
              <w:widowControl/>
              <w:spacing w:after="0" w:line="240" w:lineRule="auto"/>
              <w:jc w:val="center"/>
              <w:rPr>
                <w:kern w:val="0"/>
                <w:sz w:val="24"/>
                <w:szCs w:val="24"/>
              </w:rPr>
            </w:pPr>
            <w:r>
              <w:rPr>
                <w:kern w:val="0"/>
                <w:sz w:val="24"/>
                <w:szCs w:val="24"/>
              </w:rPr>
              <w:t>寮步镇</w:t>
            </w:r>
          </w:p>
        </w:tc>
        <w:tc>
          <w:tcPr>
            <w:tcW w:w="1530" w:type="dxa"/>
            <w:vAlign w:val="center"/>
          </w:tcPr>
          <w:p w14:paraId="33E46062">
            <w:pPr>
              <w:widowControl/>
              <w:spacing w:after="0" w:line="240" w:lineRule="auto"/>
              <w:jc w:val="center"/>
              <w:rPr>
                <w:kern w:val="0"/>
                <w:sz w:val="24"/>
                <w:szCs w:val="24"/>
              </w:rPr>
            </w:pPr>
            <w:r>
              <w:rPr>
                <w:kern w:val="0"/>
                <w:sz w:val="24"/>
                <w:szCs w:val="24"/>
              </w:rPr>
              <w:t>东莞市寮步镇工程建设中心</w:t>
            </w:r>
          </w:p>
        </w:tc>
      </w:tr>
      <w:tr w14:paraId="208E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510" w:type="dxa"/>
            <w:vAlign w:val="center"/>
          </w:tcPr>
          <w:p w14:paraId="4947B60F">
            <w:pPr>
              <w:widowControl/>
              <w:spacing w:after="0" w:line="240" w:lineRule="auto"/>
              <w:jc w:val="center"/>
              <w:rPr>
                <w:kern w:val="0"/>
                <w:sz w:val="24"/>
                <w:szCs w:val="24"/>
              </w:rPr>
            </w:pPr>
            <w:r>
              <w:rPr>
                <w:kern w:val="0"/>
                <w:sz w:val="24"/>
                <w:szCs w:val="24"/>
              </w:rPr>
              <w:t>3</w:t>
            </w:r>
          </w:p>
        </w:tc>
        <w:tc>
          <w:tcPr>
            <w:tcW w:w="2186" w:type="dxa"/>
            <w:vAlign w:val="center"/>
          </w:tcPr>
          <w:p w14:paraId="23E5E0F3">
            <w:pPr>
              <w:widowControl/>
              <w:spacing w:after="0" w:line="240" w:lineRule="auto"/>
              <w:jc w:val="center"/>
              <w:rPr>
                <w:kern w:val="0"/>
                <w:sz w:val="24"/>
                <w:szCs w:val="24"/>
              </w:rPr>
            </w:pPr>
            <w:r>
              <w:rPr>
                <w:kern w:val="0"/>
                <w:sz w:val="24"/>
                <w:szCs w:val="24"/>
              </w:rPr>
              <w:t>万江新村保障性租赁住房</w:t>
            </w:r>
          </w:p>
        </w:tc>
        <w:tc>
          <w:tcPr>
            <w:tcW w:w="4985" w:type="dxa"/>
            <w:vAlign w:val="center"/>
          </w:tcPr>
          <w:p w14:paraId="69392E13">
            <w:pPr>
              <w:widowControl/>
              <w:spacing w:after="0" w:line="240" w:lineRule="auto"/>
              <w:jc w:val="left"/>
              <w:rPr>
                <w:kern w:val="0"/>
                <w:sz w:val="24"/>
                <w:szCs w:val="24"/>
              </w:rPr>
            </w:pPr>
            <w:r>
              <w:rPr>
                <w:kern w:val="0"/>
                <w:sz w:val="24"/>
                <w:szCs w:val="24"/>
              </w:rPr>
              <w:t>用地面积为14968.87平方米，</w:t>
            </w:r>
            <w:r>
              <w:rPr>
                <w:rFonts w:hint="eastAsia"/>
                <w:kern w:val="0"/>
                <w:sz w:val="24"/>
                <w:szCs w:val="24"/>
                <w:lang w:eastAsia="zh-CN"/>
              </w:rPr>
              <w:t>总</w:t>
            </w:r>
            <w:r>
              <w:rPr>
                <w:kern w:val="0"/>
                <w:sz w:val="24"/>
                <w:szCs w:val="24"/>
              </w:rPr>
              <w:t>建筑面积为68514.41平方米，</w:t>
            </w:r>
            <w:r>
              <w:rPr>
                <w:rFonts w:hint="eastAsia"/>
                <w:kern w:val="0"/>
                <w:sz w:val="24"/>
                <w:szCs w:val="24"/>
                <w:lang w:eastAsia="zh-CN"/>
              </w:rPr>
              <w:t>建设</w:t>
            </w:r>
            <w:r>
              <w:rPr>
                <w:kern w:val="0"/>
                <w:sz w:val="24"/>
                <w:szCs w:val="24"/>
              </w:rPr>
              <w:t>保障性租赁住房1035套。</w:t>
            </w:r>
          </w:p>
        </w:tc>
        <w:tc>
          <w:tcPr>
            <w:tcW w:w="1278" w:type="dxa"/>
            <w:vAlign w:val="center"/>
          </w:tcPr>
          <w:p w14:paraId="03FA8E46">
            <w:pPr>
              <w:widowControl/>
              <w:spacing w:after="0" w:line="240" w:lineRule="auto"/>
              <w:jc w:val="center"/>
              <w:rPr>
                <w:kern w:val="0"/>
                <w:sz w:val="24"/>
                <w:szCs w:val="24"/>
              </w:rPr>
            </w:pPr>
            <w:r>
              <w:rPr>
                <w:kern w:val="0"/>
                <w:sz w:val="24"/>
                <w:szCs w:val="24"/>
              </w:rPr>
              <w:t>2025-2027</w:t>
            </w:r>
          </w:p>
        </w:tc>
        <w:tc>
          <w:tcPr>
            <w:tcW w:w="1559" w:type="dxa"/>
            <w:vAlign w:val="center"/>
          </w:tcPr>
          <w:p w14:paraId="30A7C610">
            <w:pPr>
              <w:widowControl/>
              <w:spacing w:after="0" w:line="240" w:lineRule="auto"/>
              <w:jc w:val="center"/>
              <w:rPr>
                <w:kern w:val="0"/>
                <w:sz w:val="24"/>
                <w:szCs w:val="24"/>
              </w:rPr>
            </w:pPr>
            <w:r>
              <w:rPr>
                <w:kern w:val="0"/>
                <w:sz w:val="24"/>
                <w:szCs w:val="24"/>
              </w:rPr>
              <w:t>1.</w:t>
            </w:r>
            <w:r>
              <w:rPr>
                <w:rFonts w:hint="eastAsia"/>
                <w:kern w:val="0"/>
                <w:sz w:val="24"/>
                <w:szCs w:val="24"/>
                <w:lang w:val="en-US" w:eastAsia="zh-CN"/>
              </w:rPr>
              <w:t>74</w:t>
            </w:r>
            <w:r>
              <w:rPr>
                <w:kern w:val="0"/>
                <w:sz w:val="24"/>
                <w:szCs w:val="24"/>
              </w:rPr>
              <w:t xml:space="preserve"> </w:t>
            </w:r>
          </w:p>
        </w:tc>
        <w:tc>
          <w:tcPr>
            <w:tcW w:w="1223" w:type="dxa"/>
            <w:vAlign w:val="center"/>
          </w:tcPr>
          <w:p w14:paraId="741AE7C7">
            <w:pPr>
              <w:widowControl/>
              <w:spacing w:after="0" w:line="240" w:lineRule="auto"/>
              <w:jc w:val="center"/>
              <w:rPr>
                <w:kern w:val="0"/>
                <w:sz w:val="24"/>
                <w:szCs w:val="24"/>
              </w:rPr>
            </w:pPr>
            <w:r>
              <w:rPr>
                <w:kern w:val="0"/>
                <w:sz w:val="24"/>
                <w:szCs w:val="24"/>
              </w:rPr>
              <w:t>万江街道</w:t>
            </w:r>
          </w:p>
        </w:tc>
        <w:tc>
          <w:tcPr>
            <w:tcW w:w="1530" w:type="dxa"/>
            <w:vAlign w:val="center"/>
          </w:tcPr>
          <w:p w14:paraId="75654A26">
            <w:pPr>
              <w:widowControl/>
              <w:spacing w:after="0" w:line="240" w:lineRule="auto"/>
              <w:jc w:val="center"/>
              <w:rPr>
                <w:kern w:val="0"/>
                <w:sz w:val="24"/>
                <w:szCs w:val="24"/>
              </w:rPr>
            </w:pPr>
            <w:r>
              <w:rPr>
                <w:kern w:val="0"/>
                <w:sz w:val="24"/>
                <w:szCs w:val="24"/>
              </w:rPr>
              <w:t>东莞市万江工程建设中心</w:t>
            </w:r>
          </w:p>
        </w:tc>
      </w:tr>
      <w:tr w14:paraId="4026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510" w:type="dxa"/>
            <w:vAlign w:val="center"/>
          </w:tcPr>
          <w:p w14:paraId="5C607970">
            <w:pPr>
              <w:widowControl/>
              <w:spacing w:after="0" w:line="240" w:lineRule="auto"/>
              <w:jc w:val="center"/>
              <w:rPr>
                <w:kern w:val="0"/>
                <w:sz w:val="24"/>
                <w:szCs w:val="24"/>
              </w:rPr>
            </w:pPr>
            <w:r>
              <w:rPr>
                <w:kern w:val="0"/>
                <w:sz w:val="24"/>
                <w:szCs w:val="24"/>
              </w:rPr>
              <w:t>4</w:t>
            </w:r>
          </w:p>
        </w:tc>
        <w:tc>
          <w:tcPr>
            <w:tcW w:w="2186" w:type="dxa"/>
            <w:vAlign w:val="center"/>
          </w:tcPr>
          <w:p w14:paraId="1C53E9FB">
            <w:pPr>
              <w:widowControl/>
              <w:spacing w:after="0" w:line="240" w:lineRule="auto"/>
              <w:jc w:val="center"/>
              <w:rPr>
                <w:kern w:val="0"/>
                <w:sz w:val="24"/>
                <w:szCs w:val="24"/>
              </w:rPr>
            </w:pPr>
            <w:r>
              <w:rPr>
                <w:kern w:val="0"/>
                <w:sz w:val="24"/>
                <w:szCs w:val="24"/>
              </w:rPr>
              <w:t>中堂北海现代化产业园区保障性租赁住房项目</w:t>
            </w:r>
          </w:p>
        </w:tc>
        <w:tc>
          <w:tcPr>
            <w:tcW w:w="4985" w:type="dxa"/>
            <w:vAlign w:val="center"/>
          </w:tcPr>
          <w:p w14:paraId="5B18FAD8">
            <w:pPr>
              <w:widowControl/>
              <w:spacing w:after="0" w:line="240" w:lineRule="auto"/>
              <w:jc w:val="left"/>
              <w:rPr>
                <w:kern w:val="0"/>
                <w:sz w:val="24"/>
                <w:szCs w:val="24"/>
              </w:rPr>
            </w:pPr>
            <w:r>
              <w:rPr>
                <w:rFonts w:hint="eastAsia"/>
                <w:kern w:val="0"/>
                <w:sz w:val="24"/>
                <w:szCs w:val="24"/>
                <w:lang w:eastAsia="zh-CN"/>
              </w:rPr>
              <w:t>用</w:t>
            </w:r>
            <w:r>
              <w:rPr>
                <w:kern w:val="0"/>
                <w:sz w:val="24"/>
                <w:szCs w:val="24"/>
              </w:rPr>
              <w:t>地面积9337.61平方米，</w:t>
            </w:r>
            <w:r>
              <w:rPr>
                <w:rFonts w:hint="eastAsia"/>
                <w:kern w:val="0"/>
                <w:sz w:val="24"/>
                <w:szCs w:val="24"/>
                <w:lang w:eastAsia="zh-CN"/>
              </w:rPr>
              <w:t>总</w:t>
            </w:r>
            <w:r>
              <w:rPr>
                <w:kern w:val="0"/>
                <w:sz w:val="24"/>
                <w:szCs w:val="24"/>
              </w:rPr>
              <w:t>建筑面积</w:t>
            </w:r>
            <w:r>
              <w:rPr>
                <w:rFonts w:hint="eastAsia"/>
                <w:kern w:val="0"/>
                <w:sz w:val="24"/>
                <w:szCs w:val="24"/>
                <w:lang w:eastAsia="zh-CN"/>
              </w:rPr>
              <w:t>为</w:t>
            </w:r>
            <w:r>
              <w:rPr>
                <w:kern w:val="0"/>
                <w:sz w:val="24"/>
                <w:szCs w:val="24"/>
              </w:rPr>
              <w:t>39227.37平方米，</w:t>
            </w:r>
            <w:r>
              <w:rPr>
                <w:rFonts w:hint="eastAsia"/>
                <w:kern w:val="0"/>
                <w:sz w:val="24"/>
                <w:szCs w:val="24"/>
                <w:lang w:eastAsia="zh-CN"/>
              </w:rPr>
              <w:t>建设</w:t>
            </w:r>
            <w:r>
              <w:rPr>
                <w:kern w:val="0"/>
                <w:sz w:val="24"/>
                <w:szCs w:val="24"/>
              </w:rPr>
              <w:t>保障性租赁住房</w:t>
            </w:r>
            <w:r>
              <w:rPr>
                <w:rFonts w:hint="eastAsia"/>
                <w:kern w:val="0"/>
                <w:sz w:val="24"/>
                <w:szCs w:val="24"/>
                <w:lang w:val="en-US" w:eastAsia="zh-CN"/>
              </w:rPr>
              <w:t>610</w:t>
            </w:r>
            <w:r>
              <w:rPr>
                <w:kern w:val="0"/>
                <w:sz w:val="24"/>
                <w:szCs w:val="24"/>
              </w:rPr>
              <w:t>套。</w:t>
            </w:r>
          </w:p>
        </w:tc>
        <w:tc>
          <w:tcPr>
            <w:tcW w:w="1278" w:type="dxa"/>
            <w:vAlign w:val="center"/>
          </w:tcPr>
          <w:p w14:paraId="17455184">
            <w:pPr>
              <w:widowControl/>
              <w:spacing w:after="0" w:line="240" w:lineRule="auto"/>
              <w:jc w:val="center"/>
              <w:rPr>
                <w:kern w:val="0"/>
                <w:sz w:val="24"/>
                <w:szCs w:val="24"/>
              </w:rPr>
            </w:pPr>
            <w:r>
              <w:rPr>
                <w:kern w:val="0"/>
                <w:sz w:val="24"/>
                <w:szCs w:val="24"/>
              </w:rPr>
              <w:t>2024-2026</w:t>
            </w:r>
          </w:p>
        </w:tc>
        <w:tc>
          <w:tcPr>
            <w:tcW w:w="1559" w:type="dxa"/>
            <w:vAlign w:val="center"/>
          </w:tcPr>
          <w:p w14:paraId="5DC37F1F">
            <w:pPr>
              <w:widowControl/>
              <w:spacing w:after="0" w:line="240" w:lineRule="auto"/>
              <w:jc w:val="center"/>
              <w:rPr>
                <w:kern w:val="0"/>
                <w:sz w:val="24"/>
                <w:szCs w:val="24"/>
              </w:rPr>
            </w:pPr>
            <w:r>
              <w:rPr>
                <w:rFonts w:hint="eastAsia"/>
                <w:kern w:val="0"/>
                <w:sz w:val="24"/>
                <w:szCs w:val="24"/>
                <w:lang w:val="en-US" w:eastAsia="zh-CN"/>
              </w:rPr>
              <w:t>0.92</w:t>
            </w:r>
            <w:r>
              <w:rPr>
                <w:kern w:val="0"/>
                <w:sz w:val="24"/>
                <w:szCs w:val="24"/>
              </w:rPr>
              <w:t xml:space="preserve"> </w:t>
            </w:r>
          </w:p>
        </w:tc>
        <w:tc>
          <w:tcPr>
            <w:tcW w:w="1223" w:type="dxa"/>
            <w:vAlign w:val="center"/>
          </w:tcPr>
          <w:p w14:paraId="178ACC6A">
            <w:pPr>
              <w:widowControl/>
              <w:spacing w:after="0" w:line="240" w:lineRule="auto"/>
              <w:jc w:val="center"/>
              <w:rPr>
                <w:kern w:val="0"/>
                <w:sz w:val="24"/>
                <w:szCs w:val="24"/>
              </w:rPr>
            </w:pPr>
            <w:r>
              <w:rPr>
                <w:kern w:val="0"/>
                <w:sz w:val="24"/>
                <w:szCs w:val="24"/>
              </w:rPr>
              <w:t>中堂镇</w:t>
            </w:r>
          </w:p>
        </w:tc>
        <w:tc>
          <w:tcPr>
            <w:tcW w:w="1530" w:type="dxa"/>
            <w:vAlign w:val="center"/>
          </w:tcPr>
          <w:p w14:paraId="3FB0E980">
            <w:pPr>
              <w:widowControl/>
              <w:spacing w:after="0" w:line="240" w:lineRule="auto"/>
              <w:jc w:val="center"/>
              <w:rPr>
                <w:kern w:val="0"/>
                <w:sz w:val="24"/>
                <w:szCs w:val="24"/>
              </w:rPr>
            </w:pPr>
            <w:r>
              <w:rPr>
                <w:kern w:val="0"/>
                <w:sz w:val="24"/>
                <w:szCs w:val="24"/>
              </w:rPr>
              <w:t>东莞市中堂北海建设有限公司</w:t>
            </w:r>
          </w:p>
        </w:tc>
      </w:tr>
      <w:tr w14:paraId="5781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510" w:type="dxa"/>
            <w:vAlign w:val="center"/>
          </w:tcPr>
          <w:p w14:paraId="66035F1E">
            <w:pPr>
              <w:widowControl/>
              <w:spacing w:after="0" w:line="240" w:lineRule="auto"/>
              <w:jc w:val="center"/>
              <w:rPr>
                <w:kern w:val="0"/>
                <w:sz w:val="24"/>
                <w:szCs w:val="24"/>
              </w:rPr>
            </w:pPr>
            <w:r>
              <w:rPr>
                <w:kern w:val="0"/>
                <w:sz w:val="24"/>
                <w:szCs w:val="24"/>
              </w:rPr>
              <w:t>5</w:t>
            </w:r>
          </w:p>
        </w:tc>
        <w:tc>
          <w:tcPr>
            <w:tcW w:w="2186" w:type="dxa"/>
            <w:vAlign w:val="center"/>
          </w:tcPr>
          <w:p w14:paraId="44CBB28D">
            <w:pPr>
              <w:widowControl/>
              <w:spacing w:after="0" w:line="240" w:lineRule="auto"/>
              <w:jc w:val="center"/>
              <w:rPr>
                <w:kern w:val="0"/>
                <w:sz w:val="24"/>
                <w:szCs w:val="24"/>
              </w:rPr>
            </w:pPr>
            <w:r>
              <w:rPr>
                <w:kern w:val="0"/>
                <w:sz w:val="24"/>
                <w:szCs w:val="24"/>
              </w:rPr>
              <w:t>水乡河西现代化产业园产业社区一期项目</w:t>
            </w:r>
          </w:p>
        </w:tc>
        <w:tc>
          <w:tcPr>
            <w:tcW w:w="4985" w:type="dxa"/>
            <w:vAlign w:val="center"/>
          </w:tcPr>
          <w:p w14:paraId="63EB9597">
            <w:pPr>
              <w:widowControl/>
              <w:spacing w:after="0" w:line="240" w:lineRule="auto"/>
              <w:jc w:val="left"/>
              <w:rPr>
                <w:kern w:val="0"/>
                <w:sz w:val="24"/>
                <w:szCs w:val="24"/>
              </w:rPr>
            </w:pPr>
            <w:r>
              <w:rPr>
                <w:rFonts w:hint="eastAsia"/>
                <w:kern w:val="0"/>
                <w:sz w:val="24"/>
                <w:szCs w:val="24"/>
              </w:rPr>
              <w:t>用地面积16752.40平方米，总建筑面积68548.83平方米，</w:t>
            </w:r>
            <w:r>
              <w:rPr>
                <w:rFonts w:hint="eastAsia"/>
                <w:kern w:val="0"/>
                <w:sz w:val="24"/>
                <w:szCs w:val="24"/>
                <w:lang w:eastAsia="zh-CN"/>
              </w:rPr>
              <w:t>建设</w:t>
            </w:r>
            <w:r>
              <w:rPr>
                <w:rFonts w:hint="eastAsia"/>
                <w:kern w:val="0"/>
                <w:sz w:val="24"/>
                <w:szCs w:val="24"/>
              </w:rPr>
              <w:t>保障性租赁住房1246套。</w:t>
            </w:r>
          </w:p>
        </w:tc>
        <w:tc>
          <w:tcPr>
            <w:tcW w:w="1278" w:type="dxa"/>
            <w:vAlign w:val="center"/>
          </w:tcPr>
          <w:p w14:paraId="1210751D">
            <w:pPr>
              <w:widowControl/>
              <w:spacing w:after="0" w:line="240" w:lineRule="auto"/>
              <w:jc w:val="center"/>
              <w:rPr>
                <w:kern w:val="0"/>
                <w:sz w:val="24"/>
                <w:szCs w:val="24"/>
              </w:rPr>
            </w:pPr>
            <w:r>
              <w:rPr>
                <w:kern w:val="0"/>
                <w:sz w:val="24"/>
                <w:szCs w:val="24"/>
              </w:rPr>
              <w:t>2025-202</w:t>
            </w:r>
            <w:r>
              <w:rPr>
                <w:rFonts w:hint="eastAsia"/>
                <w:kern w:val="0"/>
                <w:sz w:val="24"/>
                <w:szCs w:val="24"/>
                <w:lang w:val="en-US" w:eastAsia="zh-CN"/>
              </w:rPr>
              <w:t>7</w:t>
            </w:r>
          </w:p>
        </w:tc>
        <w:tc>
          <w:tcPr>
            <w:tcW w:w="1559" w:type="dxa"/>
            <w:vAlign w:val="center"/>
          </w:tcPr>
          <w:p w14:paraId="1703164F">
            <w:pPr>
              <w:widowControl/>
              <w:spacing w:after="0" w:line="240" w:lineRule="auto"/>
              <w:jc w:val="center"/>
              <w:rPr>
                <w:kern w:val="0"/>
                <w:sz w:val="24"/>
                <w:szCs w:val="24"/>
              </w:rPr>
            </w:pPr>
            <w:r>
              <w:rPr>
                <w:rFonts w:hint="eastAsia"/>
                <w:kern w:val="0"/>
                <w:sz w:val="24"/>
                <w:szCs w:val="24"/>
              </w:rPr>
              <w:t>1.9</w:t>
            </w:r>
            <w:r>
              <w:rPr>
                <w:rFonts w:hint="eastAsia"/>
                <w:kern w:val="0"/>
                <w:sz w:val="24"/>
                <w:szCs w:val="24"/>
                <w:lang w:val="en-US" w:eastAsia="zh-CN"/>
              </w:rPr>
              <w:t>5</w:t>
            </w:r>
          </w:p>
        </w:tc>
        <w:tc>
          <w:tcPr>
            <w:tcW w:w="1223" w:type="dxa"/>
            <w:vAlign w:val="center"/>
          </w:tcPr>
          <w:p w14:paraId="1584166B">
            <w:pPr>
              <w:widowControl/>
              <w:spacing w:after="0" w:line="240" w:lineRule="auto"/>
              <w:jc w:val="center"/>
              <w:rPr>
                <w:kern w:val="0"/>
                <w:sz w:val="24"/>
                <w:szCs w:val="24"/>
              </w:rPr>
            </w:pPr>
            <w:r>
              <w:rPr>
                <w:kern w:val="0"/>
                <w:sz w:val="24"/>
                <w:szCs w:val="24"/>
              </w:rPr>
              <w:t>洪梅镇</w:t>
            </w:r>
          </w:p>
        </w:tc>
        <w:tc>
          <w:tcPr>
            <w:tcW w:w="1530" w:type="dxa"/>
            <w:vAlign w:val="center"/>
          </w:tcPr>
          <w:p w14:paraId="563FEEA7">
            <w:pPr>
              <w:widowControl/>
              <w:spacing w:after="0" w:line="240" w:lineRule="auto"/>
              <w:jc w:val="center"/>
              <w:rPr>
                <w:kern w:val="0"/>
                <w:sz w:val="24"/>
                <w:szCs w:val="24"/>
              </w:rPr>
            </w:pPr>
            <w:r>
              <w:rPr>
                <w:kern w:val="0"/>
                <w:sz w:val="24"/>
                <w:szCs w:val="24"/>
              </w:rPr>
              <w:t>东莞启洪乐居投资有限公司</w:t>
            </w:r>
          </w:p>
        </w:tc>
      </w:tr>
      <w:tr w14:paraId="0278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510" w:type="dxa"/>
            <w:vAlign w:val="center"/>
          </w:tcPr>
          <w:p w14:paraId="11B63F36">
            <w:pPr>
              <w:widowControl/>
              <w:spacing w:after="0" w:line="240" w:lineRule="auto"/>
              <w:jc w:val="center"/>
              <w:rPr>
                <w:kern w:val="0"/>
                <w:sz w:val="24"/>
                <w:szCs w:val="24"/>
              </w:rPr>
            </w:pPr>
            <w:r>
              <w:rPr>
                <w:kern w:val="0"/>
                <w:sz w:val="24"/>
                <w:szCs w:val="24"/>
              </w:rPr>
              <w:t>6</w:t>
            </w:r>
          </w:p>
        </w:tc>
        <w:tc>
          <w:tcPr>
            <w:tcW w:w="2186" w:type="dxa"/>
            <w:vAlign w:val="center"/>
          </w:tcPr>
          <w:p w14:paraId="188144DC">
            <w:pPr>
              <w:widowControl/>
              <w:spacing w:after="0" w:line="240" w:lineRule="auto"/>
              <w:jc w:val="center"/>
              <w:rPr>
                <w:kern w:val="0"/>
                <w:sz w:val="24"/>
                <w:szCs w:val="24"/>
              </w:rPr>
            </w:pPr>
            <w:r>
              <w:rPr>
                <w:kern w:val="0"/>
                <w:sz w:val="24"/>
                <w:szCs w:val="24"/>
              </w:rPr>
              <w:t>寮步莞樟路保障性住房项目</w:t>
            </w:r>
          </w:p>
        </w:tc>
        <w:tc>
          <w:tcPr>
            <w:tcW w:w="4985" w:type="dxa"/>
            <w:vAlign w:val="center"/>
          </w:tcPr>
          <w:p w14:paraId="07418CAB">
            <w:pPr>
              <w:widowControl/>
              <w:spacing w:after="0" w:line="240" w:lineRule="auto"/>
              <w:jc w:val="left"/>
              <w:rPr>
                <w:kern w:val="0"/>
                <w:sz w:val="24"/>
                <w:szCs w:val="24"/>
              </w:rPr>
            </w:pPr>
            <w:r>
              <w:rPr>
                <w:rFonts w:hint="eastAsia"/>
                <w:kern w:val="0"/>
                <w:sz w:val="24"/>
                <w:szCs w:val="24"/>
              </w:rPr>
              <w:t>用地面积</w:t>
            </w:r>
            <w:r>
              <w:rPr>
                <w:rFonts w:hint="eastAsia"/>
                <w:kern w:val="0"/>
                <w:sz w:val="24"/>
                <w:szCs w:val="24"/>
                <w:lang w:val="en-US" w:eastAsia="zh-CN"/>
              </w:rPr>
              <w:t>12210</w:t>
            </w:r>
            <w:r>
              <w:rPr>
                <w:rFonts w:hint="eastAsia"/>
                <w:kern w:val="0"/>
                <w:sz w:val="24"/>
                <w:szCs w:val="24"/>
              </w:rPr>
              <w:t>平方米</w:t>
            </w:r>
            <w:r>
              <w:rPr>
                <w:kern w:val="0"/>
                <w:sz w:val="24"/>
                <w:szCs w:val="24"/>
              </w:rPr>
              <w:t>，总建筑面积70447.81平方米，建设保障性住房504套。</w:t>
            </w:r>
          </w:p>
        </w:tc>
        <w:tc>
          <w:tcPr>
            <w:tcW w:w="1278" w:type="dxa"/>
            <w:vAlign w:val="center"/>
          </w:tcPr>
          <w:p w14:paraId="0A5C00C9">
            <w:pPr>
              <w:widowControl/>
              <w:spacing w:after="0" w:line="240" w:lineRule="auto"/>
              <w:jc w:val="center"/>
              <w:rPr>
                <w:kern w:val="0"/>
                <w:sz w:val="24"/>
                <w:szCs w:val="24"/>
              </w:rPr>
            </w:pPr>
            <w:r>
              <w:rPr>
                <w:kern w:val="0"/>
                <w:sz w:val="24"/>
                <w:szCs w:val="24"/>
              </w:rPr>
              <w:t>2024-2026</w:t>
            </w:r>
          </w:p>
        </w:tc>
        <w:tc>
          <w:tcPr>
            <w:tcW w:w="1559" w:type="dxa"/>
            <w:vAlign w:val="center"/>
          </w:tcPr>
          <w:p w14:paraId="7C6E69D2">
            <w:pPr>
              <w:widowControl/>
              <w:spacing w:after="0" w:line="240" w:lineRule="auto"/>
              <w:jc w:val="center"/>
              <w:rPr>
                <w:kern w:val="0"/>
                <w:sz w:val="24"/>
                <w:szCs w:val="24"/>
              </w:rPr>
            </w:pPr>
            <w:r>
              <w:rPr>
                <w:rFonts w:hint="eastAsia"/>
                <w:kern w:val="0"/>
                <w:sz w:val="24"/>
                <w:szCs w:val="24"/>
                <w:lang w:val="en-US" w:eastAsia="zh-CN"/>
              </w:rPr>
              <w:t>0.84</w:t>
            </w:r>
            <w:r>
              <w:rPr>
                <w:kern w:val="0"/>
                <w:sz w:val="24"/>
                <w:szCs w:val="24"/>
              </w:rPr>
              <w:t xml:space="preserve"> </w:t>
            </w:r>
          </w:p>
        </w:tc>
        <w:tc>
          <w:tcPr>
            <w:tcW w:w="1223" w:type="dxa"/>
            <w:vAlign w:val="center"/>
          </w:tcPr>
          <w:p w14:paraId="61B83E8C">
            <w:pPr>
              <w:widowControl/>
              <w:spacing w:after="0" w:line="240" w:lineRule="auto"/>
              <w:jc w:val="center"/>
              <w:rPr>
                <w:kern w:val="0"/>
                <w:sz w:val="24"/>
                <w:szCs w:val="24"/>
              </w:rPr>
            </w:pPr>
            <w:r>
              <w:rPr>
                <w:kern w:val="0"/>
                <w:sz w:val="24"/>
                <w:szCs w:val="24"/>
              </w:rPr>
              <w:t>寮步镇</w:t>
            </w:r>
          </w:p>
        </w:tc>
        <w:tc>
          <w:tcPr>
            <w:tcW w:w="1530" w:type="dxa"/>
            <w:vAlign w:val="center"/>
          </w:tcPr>
          <w:p w14:paraId="4EB56C83">
            <w:pPr>
              <w:widowControl/>
              <w:spacing w:after="0" w:line="240" w:lineRule="auto"/>
              <w:jc w:val="center"/>
              <w:rPr>
                <w:kern w:val="0"/>
                <w:sz w:val="24"/>
                <w:szCs w:val="24"/>
              </w:rPr>
            </w:pPr>
            <w:r>
              <w:rPr>
                <w:kern w:val="0"/>
                <w:sz w:val="24"/>
                <w:szCs w:val="24"/>
              </w:rPr>
              <w:t>东莞市东寮安居建设有限公司</w:t>
            </w:r>
          </w:p>
        </w:tc>
      </w:tr>
      <w:tr w14:paraId="35F1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510" w:type="dxa"/>
            <w:vAlign w:val="center"/>
          </w:tcPr>
          <w:p w14:paraId="3C756BF5">
            <w:pPr>
              <w:widowControl/>
              <w:spacing w:after="0" w:line="240" w:lineRule="auto"/>
              <w:jc w:val="center"/>
              <w:rPr>
                <w:kern w:val="0"/>
                <w:sz w:val="24"/>
                <w:szCs w:val="24"/>
              </w:rPr>
            </w:pPr>
            <w:r>
              <w:rPr>
                <w:kern w:val="0"/>
                <w:sz w:val="24"/>
                <w:szCs w:val="24"/>
              </w:rPr>
              <w:t>7</w:t>
            </w:r>
          </w:p>
        </w:tc>
        <w:tc>
          <w:tcPr>
            <w:tcW w:w="2186" w:type="dxa"/>
            <w:noWrap/>
            <w:vAlign w:val="center"/>
          </w:tcPr>
          <w:p w14:paraId="7B06139F">
            <w:pPr>
              <w:widowControl/>
              <w:spacing w:after="0" w:line="240" w:lineRule="auto"/>
              <w:rPr>
                <w:kern w:val="0"/>
                <w:sz w:val="24"/>
                <w:szCs w:val="24"/>
              </w:rPr>
            </w:pPr>
            <w:r>
              <w:rPr>
                <w:kern w:val="0"/>
                <w:sz w:val="24"/>
                <w:szCs w:val="24"/>
              </w:rPr>
              <w:t>大岭山太公岭现代化产业园保障性住房项目</w:t>
            </w:r>
          </w:p>
        </w:tc>
        <w:tc>
          <w:tcPr>
            <w:tcW w:w="4985" w:type="dxa"/>
            <w:vAlign w:val="center"/>
          </w:tcPr>
          <w:p w14:paraId="570EA86A">
            <w:pPr>
              <w:widowControl/>
              <w:spacing w:after="0" w:line="240" w:lineRule="auto"/>
              <w:jc w:val="left"/>
              <w:rPr>
                <w:kern w:val="0"/>
                <w:sz w:val="24"/>
                <w:szCs w:val="24"/>
              </w:rPr>
            </w:pPr>
            <w:r>
              <w:rPr>
                <w:kern w:val="0"/>
                <w:sz w:val="24"/>
                <w:szCs w:val="24"/>
              </w:rPr>
              <w:t>用地面积1</w:t>
            </w:r>
            <w:r>
              <w:rPr>
                <w:rFonts w:hint="eastAsia"/>
                <w:kern w:val="0"/>
                <w:sz w:val="24"/>
                <w:szCs w:val="24"/>
                <w:lang w:val="en-US" w:eastAsia="zh-CN"/>
              </w:rPr>
              <w:t>2634</w:t>
            </w:r>
            <w:r>
              <w:rPr>
                <w:rFonts w:hint="eastAsia"/>
                <w:kern w:val="0"/>
                <w:sz w:val="24"/>
                <w:szCs w:val="24"/>
              </w:rPr>
              <w:t>平方米</w:t>
            </w:r>
            <w:r>
              <w:rPr>
                <w:kern w:val="0"/>
                <w:sz w:val="24"/>
                <w:szCs w:val="24"/>
              </w:rPr>
              <w:t>，总建筑面积69100.66平方米，建设保障性住房516套。</w:t>
            </w:r>
          </w:p>
        </w:tc>
        <w:tc>
          <w:tcPr>
            <w:tcW w:w="1278" w:type="dxa"/>
            <w:vAlign w:val="center"/>
          </w:tcPr>
          <w:p w14:paraId="29E27D8F">
            <w:pPr>
              <w:widowControl/>
              <w:spacing w:after="0" w:line="240" w:lineRule="auto"/>
              <w:jc w:val="center"/>
              <w:rPr>
                <w:kern w:val="0"/>
                <w:sz w:val="24"/>
                <w:szCs w:val="24"/>
              </w:rPr>
            </w:pPr>
            <w:r>
              <w:rPr>
                <w:kern w:val="0"/>
                <w:sz w:val="24"/>
                <w:szCs w:val="24"/>
              </w:rPr>
              <w:t>2024-2027</w:t>
            </w:r>
          </w:p>
        </w:tc>
        <w:tc>
          <w:tcPr>
            <w:tcW w:w="1559" w:type="dxa"/>
            <w:vAlign w:val="center"/>
          </w:tcPr>
          <w:p w14:paraId="2289D8F0">
            <w:pPr>
              <w:widowControl/>
              <w:spacing w:after="0" w:line="240" w:lineRule="auto"/>
              <w:jc w:val="center"/>
              <w:rPr>
                <w:kern w:val="0"/>
                <w:sz w:val="24"/>
                <w:szCs w:val="24"/>
              </w:rPr>
            </w:pPr>
            <w:r>
              <w:rPr>
                <w:rFonts w:hint="eastAsia"/>
                <w:kern w:val="0"/>
                <w:sz w:val="24"/>
                <w:szCs w:val="24"/>
                <w:lang w:val="en-US" w:eastAsia="zh-CN"/>
              </w:rPr>
              <w:t>1.59</w:t>
            </w:r>
            <w:r>
              <w:rPr>
                <w:kern w:val="0"/>
                <w:sz w:val="24"/>
                <w:szCs w:val="24"/>
              </w:rPr>
              <w:t xml:space="preserve"> </w:t>
            </w:r>
          </w:p>
        </w:tc>
        <w:tc>
          <w:tcPr>
            <w:tcW w:w="1223" w:type="dxa"/>
            <w:vAlign w:val="center"/>
          </w:tcPr>
          <w:p w14:paraId="5682CE10">
            <w:pPr>
              <w:widowControl/>
              <w:spacing w:after="0" w:line="240" w:lineRule="auto"/>
              <w:jc w:val="center"/>
              <w:rPr>
                <w:kern w:val="0"/>
                <w:sz w:val="24"/>
                <w:szCs w:val="24"/>
              </w:rPr>
            </w:pPr>
            <w:r>
              <w:rPr>
                <w:kern w:val="0"/>
                <w:sz w:val="24"/>
                <w:szCs w:val="24"/>
              </w:rPr>
              <w:t>大岭山镇</w:t>
            </w:r>
          </w:p>
        </w:tc>
        <w:tc>
          <w:tcPr>
            <w:tcW w:w="1530" w:type="dxa"/>
            <w:vAlign w:val="center"/>
          </w:tcPr>
          <w:p w14:paraId="742740C7">
            <w:pPr>
              <w:widowControl/>
              <w:spacing w:after="0" w:line="240" w:lineRule="auto"/>
              <w:jc w:val="center"/>
              <w:rPr>
                <w:kern w:val="0"/>
                <w:sz w:val="24"/>
                <w:szCs w:val="24"/>
              </w:rPr>
            </w:pPr>
            <w:r>
              <w:rPr>
                <w:kern w:val="0"/>
                <w:sz w:val="24"/>
                <w:szCs w:val="24"/>
              </w:rPr>
              <w:t>东莞市莞岭安居建设有限公司</w:t>
            </w:r>
          </w:p>
        </w:tc>
      </w:tr>
      <w:tr w14:paraId="67BC2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510" w:type="dxa"/>
            <w:vAlign w:val="center"/>
          </w:tcPr>
          <w:p w14:paraId="093D3D4E">
            <w:pPr>
              <w:widowControl/>
              <w:spacing w:after="0" w:line="240" w:lineRule="auto"/>
              <w:jc w:val="center"/>
              <w:rPr>
                <w:kern w:val="0"/>
                <w:sz w:val="24"/>
                <w:szCs w:val="24"/>
              </w:rPr>
            </w:pPr>
            <w:r>
              <w:rPr>
                <w:kern w:val="0"/>
                <w:sz w:val="24"/>
                <w:szCs w:val="24"/>
              </w:rPr>
              <w:t>8</w:t>
            </w:r>
          </w:p>
        </w:tc>
        <w:tc>
          <w:tcPr>
            <w:tcW w:w="2186" w:type="dxa"/>
            <w:vAlign w:val="center"/>
          </w:tcPr>
          <w:p w14:paraId="51497CE0">
            <w:pPr>
              <w:widowControl/>
              <w:spacing w:after="0" w:line="240" w:lineRule="auto"/>
              <w:jc w:val="center"/>
              <w:rPr>
                <w:kern w:val="0"/>
                <w:sz w:val="24"/>
                <w:szCs w:val="24"/>
              </w:rPr>
            </w:pPr>
            <w:r>
              <w:rPr>
                <w:kern w:val="0"/>
                <w:sz w:val="24"/>
                <w:szCs w:val="24"/>
              </w:rPr>
              <w:t>万江新村保障性住房项目</w:t>
            </w:r>
          </w:p>
        </w:tc>
        <w:tc>
          <w:tcPr>
            <w:tcW w:w="4985" w:type="dxa"/>
            <w:vAlign w:val="center"/>
          </w:tcPr>
          <w:p w14:paraId="5C804916">
            <w:pPr>
              <w:widowControl/>
              <w:spacing w:after="0" w:line="240" w:lineRule="auto"/>
              <w:jc w:val="left"/>
              <w:rPr>
                <w:kern w:val="0"/>
                <w:sz w:val="24"/>
                <w:szCs w:val="24"/>
              </w:rPr>
            </w:pPr>
            <w:r>
              <w:rPr>
                <w:kern w:val="0"/>
                <w:sz w:val="24"/>
                <w:szCs w:val="24"/>
              </w:rPr>
              <w:t>用地面积24500.11平方米，总建筑面积</w:t>
            </w:r>
            <w:r>
              <w:rPr>
                <w:rFonts w:hint="eastAsia"/>
                <w:kern w:val="0"/>
                <w:sz w:val="24"/>
                <w:szCs w:val="24"/>
                <w:lang w:val="en-US" w:eastAsia="zh-CN"/>
              </w:rPr>
              <w:t>124588.87</w:t>
            </w:r>
            <w:r>
              <w:rPr>
                <w:kern w:val="0"/>
                <w:sz w:val="24"/>
                <w:szCs w:val="24"/>
              </w:rPr>
              <w:t>平方米，建</w:t>
            </w:r>
            <w:r>
              <w:rPr>
                <w:rFonts w:hint="eastAsia"/>
                <w:kern w:val="0"/>
                <w:sz w:val="24"/>
                <w:szCs w:val="24"/>
                <w:lang w:eastAsia="zh-CN"/>
              </w:rPr>
              <w:t>设</w:t>
            </w:r>
            <w:r>
              <w:rPr>
                <w:kern w:val="0"/>
                <w:sz w:val="24"/>
                <w:szCs w:val="24"/>
              </w:rPr>
              <w:t>保障性住房902套。</w:t>
            </w:r>
          </w:p>
        </w:tc>
        <w:tc>
          <w:tcPr>
            <w:tcW w:w="1278" w:type="dxa"/>
            <w:noWrap/>
            <w:vAlign w:val="center"/>
          </w:tcPr>
          <w:p w14:paraId="43497C71">
            <w:pPr>
              <w:widowControl/>
              <w:spacing w:after="0" w:line="240" w:lineRule="auto"/>
              <w:jc w:val="left"/>
              <w:rPr>
                <w:kern w:val="0"/>
                <w:sz w:val="24"/>
                <w:szCs w:val="24"/>
              </w:rPr>
            </w:pPr>
            <w:r>
              <w:rPr>
                <w:kern w:val="0"/>
                <w:sz w:val="24"/>
                <w:szCs w:val="24"/>
              </w:rPr>
              <w:t>2024-2027</w:t>
            </w:r>
          </w:p>
        </w:tc>
        <w:tc>
          <w:tcPr>
            <w:tcW w:w="1559" w:type="dxa"/>
            <w:vAlign w:val="center"/>
          </w:tcPr>
          <w:p w14:paraId="375FF437">
            <w:pPr>
              <w:widowControl/>
              <w:spacing w:after="0" w:line="240" w:lineRule="auto"/>
              <w:jc w:val="center"/>
              <w:rPr>
                <w:kern w:val="0"/>
                <w:sz w:val="24"/>
                <w:szCs w:val="24"/>
              </w:rPr>
            </w:pPr>
            <w:r>
              <w:rPr>
                <w:rFonts w:hint="eastAsia"/>
                <w:kern w:val="0"/>
                <w:sz w:val="24"/>
                <w:szCs w:val="24"/>
                <w:lang w:val="en-US" w:eastAsia="zh-CN"/>
              </w:rPr>
              <w:t>3.05</w:t>
            </w:r>
            <w:r>
              <w:rPr>
                <w:kern w:val="0"/>
                <w:sz w:val="24"/>
                <w:szCs w:val="24"/>
              </w:rPr>
              <w:t xml:space="preserve"> </w:t>
            </w:r>
          </w:p>
        </w:tc>
        <w:tc>
          <w:tcPr>
            <w:tcW w:w="1223" w:type="dxa"/>
            <w:vAlign w:val="center"/>
          </w:tcPr>
          <w:p w14:paraId="71209D28">
            <w:pPr>
              <w:widowControl/>
              <w:spacing w:after="0" w:line="240" w:lineRule="auto"/>
              <w:jc w:val="center"/>
              <w:rPr>
                <w:kern w:val="0"/>
                <w:sz w:val="24"/>
                <w:szCs w:val="24"/>
              </w:rPr>
            </w:pPr>
            <w:r>
              <w:rPr>
                <w:kern w:val="0"/>
                <w:sz w:val="24"/>
                <w:szCs w:val="24"/>
              </w:rPr>
              <w:t>万江街道</w:t>
            </w:r>
          </w:p>
        </w:tc>
        <w:tc>
          <w:tcPr>
            <w:tcW w:w="1530" w:type="dxa"/>
            <w:vAlign w:val="center"/>
          </w:tcPr>
          <w:p w14:paraId="575AB41F">
            <w:pPr>
              <w:widowControl/>
              <w:spacing w:after="0" w:line="240" w:lineRule="auto"/>
              <w:jc w:val="center"/>
              <w:rPr>
                <w:kern w:val="0"/>
                <w:sz w:val="24"/>
                <w:szCs w:val="24"/>
              </w:rPr>
            </w:pPr>
            <w:r>
              <w:rPr>
                <w:kern w:val="0"/>
                <w:sz w:val="24"/>
                <w:szCs w:val="24"/>
              </w:rPr>
              <w:t>东莞市旗万安居建设有限公司</w:t>
            </w:r>
          </w:p>
        </w:tc>
      </w:tr>
      <w:tr w14:paraId="6942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510" w:type="dxa"/>
            <w:vAlign w:val="center"/>
          </w:tcPr>
          <w:p w14:paraId="1D9085B2">
            <w:pPr>
              <w:widowControl/>
              <w:spacing w:after="0" w:line="240" w:lineRule="auto"/>
              <w:jc w:val="center"/>
              <w:rPr>
                <w:kern w:val="0"/>
                <w:sz w:val="24"/>
                <w:szCs w:val="24"/>
              </w:rPr>
            </w:pPr>
            <w:r>
              <w:rPr>
                <w:kern w:val="0"/>
                <w:sz w:val="24"/>
                <w:szCs w:val="24"/>
              </w:rPr>
              <w:t>9</w:t>
            </w:r>
          </w:p>
        </w:tc>
        <w:tc>
          <w:tcPr>
            <w:tcW w:w="2186" w:type="dxa"/>
            <w:vAlign w:val="center"/>
          </w:tcPr>
          <w:p w14:paraId="3E7AC7F0">
            <w:pPr>
              <w:widowControl/>
              <w:spacing w:after="0" w:line="240" w:lineRule="auto"/>
              <w:jc w:val="center"/>
              <w:rPr>
                <w:kern w:val="0"/>
                <w:sz w:val="24"/>
                <w:szCs w:val="24"/>
              </w:rPr>
            </w:pPr>
            <w:r>
              <w:rPr>
                <w:kern w:val="0"/>
                <w:sz w:val="24"/>
                <w:szCs w:val="24"/>
              </w:rPr>
              <w:t>滨海湾威远现代化产业园区保障性住房</w:t>
            </w:r>
          </w:p>
        </w:tc>
        <w:tc>
          <w:tcPr>
            <w:tcW w:w="4985" w:type="dxa"/>
            <w:vAlign w:val="center"/>
          </w:tcPr>
          <w:p w14:paraId="1AEF51AE">
            <w:pPr>
              <w:widowControl/>
              <w:spacing w:after="0" w:line="240" w:lineRule="auto"/>
              <w:jc w:val="left"/>
              <w:rPr>
                <w:kern w:val="0"/>
                <w:sz w:val="24"/>
                <w:szCs w:val="24"/>
              </w:rPr>
            </w:pPr>
            <w:r>
              <w:rPr>
                <w:kern w:val="0"/>
                <w:sz w:val="24"/>
                <w:szCs w:val="24"/>
              </w:rPr>
              <w:t>用地面积29174.55平方米，</w:t>
            </w:r>
            <w:r>
              <w:rPr>
                <w:rFonts w:hint="eastAsia"/>
                <w:kern w:val="0"/>
                <w:sz w:val="24"/>
                <w:szCs w:val="24"/>
                <w:lang w:eastAsia="zh-CN"/>
              </w:rPr>
              <w:t>总</w:t>
            </w:r>
            <w:r>
              <w:rPr>
                <w:kern w:val="0"/>
                <w:sz w:val="24"/>
                <w:szCs w:val="24"/>
              </w:rPr>
              <w:t>建筑面积</w:t>
            </w:r>
            <w:r>
              <w:rPr>
                <w:rFonts w:hint="eastAsia"/>
                <w:kern w:val="0"/>
                <w:sz w:val="24"/>
                <w:szCs w:val="24"/>
              </w:rPr>
              <w:t>147519.44</w:t>
            </w:r>
            <w:r>
              <w:rPr>
                <w:kern w:val="0"/>
                <w:sz w:val="24"/>
                <w:szCs w:val="24"/>
              </w:rPr>
              <w:t>平方米，建</w:t>
            </w:r>
            <w:r>
              <w:rPr>
                <w:rFonts w:hint="eastAsia"/>
                <w:kern w:val="0"/>
                <w:sz w:val="24"/>
                <w:szCs w:val="24"/>
                <w:lang w:eastAsia="zh-CN"/>
              </w:rPr>
              <w:t>设</w:t>
            </w:r>
            <w:r>
              <w:rPr>
                <w:kern w:val="0"/>
                <w:sz w:val="24"/>
                <w:szCs w:val="24"/>
              </w:rPr>
              <w:t>保障性住房10</w:t>
            </w:r>
            <w:r>
              <w:rPr>
                <w:rFonts w:hint="eastAsia"/>
                <w:kern w:val="0"/>
                <w:sz w:val="24"/>
                <w:szCs w:val="24"/>
              </w:rPr>
              <w:t>6</w:t>
            </w:r>
            <w:r>
              <w:rPr>
                <w:kern w:val="0"/>
                <w:sz w:val="24"/>
                <w:szCs w:val="24"/>
              </w:rPr>
              <w:t>5套。</w:t>
            </w:r>
          </w:p>
        </w:tc>
        <w:tc>
          <w:tcPr>
            <w:tcW w:w="1278" w:type="dxa"/>
            <w:vAlign w:val="center"/>
          </w:tcPr>
          <w:p w14:paraId="3244DDB2">
            <w:pPr>
              <w:widowControl/>
              <w:spacing w:after="0" w:line="240" w:lineRule="auto"/>
              <w:jc w:val="center"/>
              <w:rPr>
                <w:kern w:val="0"/>
                <w:sz w:val="24"/>
                <w:szCs w:val="24"/>
              </w:rPr>
            </w:pPr>
            <w:r>
              <w:rPr>
                <w:kern w:val="0"/>
                <w:sz w:val="24"/>
                <w:szCs w:val="24"/>
              </w:rPr>
              <w:t>2024-2028</w:t>
            </w:r>
          </w:p>
        </w:tc>
        <w:tc>
          <w:tcPr>
            <w:tcW w:w="1559" w:type="dxa"/>
            <w:vAlign w:val="center"/>
          </w:tcPr>
          <w:p w14:paraId="7CD79894">
            <w:pPr>
              <w:widowControl/>
              <w:spacing w:after="0" w:line="240" w:lineRule="auto"/>
              <w:jc w:val="center"/>
              <w:rPr>
                <w:kern w:val="0"/>
                <w:sz w:val="24"/>
                <w:szCs w:val="24"/>
              </w:rPr>
            </w:pPr>
            <w:r>
              <w:rPr>
                <w:rFonts w:hint="eastAsia"/>
                <w:kern w:val="0"/>
                <w:sz w:val="24"/>
                <w:szCs w:val="24"/>
                <w:lang w:val="en-US" w:eastAsia="zh-CN"/>
              </w:rPr>
              <w:t>4.17</w:t>
            </w:r>
            <w:r>
              <w:rPr>
                <w:kern w:val="0"/>
                <w:sz w:val="24"/>
                <w:szCs w:val="24"/>
              </w:rPr>
              <w:t xml:space="preserve"> </w:t>
            </w:r>
          </w:p>
        </w:tc>
        <w:tc>
          <w:tcPr>
            <w:tcW w:w="1223" w:type="dxa"/>
            <w:vAlign w:val="center"/>
          </w:tcPr>
          <w:p w14:paraId="1DD054F6">
            <w:pPr>
              <w:widowControl/>
              <w:spacing w:after="0" w:line="240" w:lineRule="auto"/>
              <w:jc w:val="center"/>
              <w:rPr>
                <w:kern w:val="0"/>
                <w:sz w:val="24"/>
                <w:szCs w:val="24"/>
              </w:rPr>
            </w:pPr>
            <w:r>
              <w:rPr>
                <w:kern w:val="0"/>
                <w:sz w:val="24"/>
                <w:szCs w:val="24"/>
              </w:rPr>
              <w:t>滨海湾</w:t>
            </w:r>
            <w:r>
              <w:rPr>
                <w:rFonts w:hint="eastAsia"/>
                <w:kern w:val="0"/>
                <w:sz w:val="24"/>
                <w:szCs w:val="24"/>
                <w:lang w:val="en-US" w:eastAsia="zh-CN"/>
              </w:rPr>
              <w:t xml:space="preserve">   </w:t>
            </w:r>
            <w:r>
              <w:rPr>
                <w:kern w:val="0"/>
                <w:sz w:val="24"/>
                <w:szCs w:val="24"/>
              </w:rPr>
              <w:t>新区</w:t>
            </w:r>
          </w:p>
        </w:tc>
        <w:tc>
          <w:tcPr>
            <w:tcW w:w="1530" w:type="dxa"/>
            <w:vAlign w:val="center"/>
          </w:tcPr>
          <w:p w14:paraId="3EF064D9">
            <w:pPr>
              <w:widowControl/>
              <w:spacing w:after="0" w:line="240" w:lineRule="auto"/>
              <w:jc w:val="center"/>
              <w:rPr>
                <w:kern w:val="0"/>
                <w:sz w:val="24"/>
                <w:szCs w:val="24"/>
              </w:rPr>
            </w:pPr>
            <w:r>
              <w:rPr>
                <w:kern w:val="0"/>
                <w:sz w:val="24"/>
                <w:szCs w:val="24"/>
              </w:rPr>
              <w:t>东莞市海科安居建设有限公司</w:t>
            </w:r>
          </w:p>
        </w:tc>
      </w:tr>
      <w:tr w14:paraId="44A3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510" w:type="dxa"/>
            <w:vAlign w:val="center"/>
          </w:tcPr>
          <w:p w14:paraId="0E0A0496">
            <w:pPr>
              <w:widowControl/>
              <w:spacing w:after="0" w:line="240" w:lineRule="auto"/>
              <w:jc w:val="center"/>
              <w:rPr>
                <w:kern w:val="0"/>
                <w:sz w:val="24"/>
                <w:szCs w:val="24"/>
              </w:rPr>
            </w:pPr>
            <w:r>
              <w:rPr>
                <w:kern w:val="0"/>
                <w:sz w:val="24"/>
                <w:szCs w:val="24"/>
              </w:rPr>
              <w:t>10</w:t>
            </w:r>
          </w:p>
        </w:tc>
        <w:tc>
          <w:tcPr>
            <w:tcW w:w="2186" w:type="dxa"/>
            <w:vAlign w:val="center"/>
          </w:tcPr>
          <w:p w14:paraId="719C2AC4">
            <w:pPr>
              <w:widowControl/>
              <w:spacing w:after="0" w:line="240" w:lineRule="auto"/>
              <w:jc w:val="center"/>
              <w:rPr>
                <w:kern w:val="0"/>
                <w:sz w:val="24"/>
                <w:szCs w:val="24"/>
              </w:rPr>
            </w:pPr>
            <w:r>
              <w:rPr>
                <w:kern w:val="0"/>
                <w:sz w:val="24"/>
                <w:szCs w:val="24"/>
              </w:rPr>
              <w:t>厚街厚山保障性住房项目</w:t>
            </w:r>
          </w:p>
        </w:tc>
        <w:tc>
          <w:tcPr>
            <w:tcW w:w="4985" w:type="dxa"/>
            <w:vAlign w:val="center"/>
          </w:tcPr>
          <w:p w14:paraId="6894AB29">
            <w:pPr>
              <w:widowControl/>
              <w:spacing w:after="0" w:line="240" w:lineRule="auto"/>
              <w:jc w:val="left"/>
              <w:rPr>
                <w:kern w:val="0"/>
                <w:sz w:val="24"/>
                <w:szCs w:val="24"/>
              </w:rPr>
            </w:pPr>
            <w:r>
              <w:rPr>
                <w:kern w:val="0"/>
                <w:sz w:val="24"/>
                <w:szCs w:val="24"/>
              </w:rPr>
              <w:t>用地面积</w:t>
            </w:r>
            <w:r>
              <w:rPr>
                <w:rFonts w:hint="eastAsia"/>
                <w:kern w:val="0"/>
                <w:sz w:val="24"/>
                <w:szCs w:val="24"/>
              </w:rPr>
              <w:t>14609</w:t>
            </w:r>
            <w:r>
              <w:rPr>
                <w:kern w:val="0"/>
                <w:sz w:val="24"/>
                <w:szCs w:val="24"/>
              </w:rPr>
              <w:t>平方米，总建筑面积72777.61平方米，建设保障性住房506套。</w:t>
            </w:r>
          </w:p>
        </w:tc>
        <w:tc>
          <w:tcPr>
            <w:tcW w:w="1278" w:type="dxa"/>
            <w:vAlign w:val="center"/>
          </w:tcPr>
          <w:p w14:paraId="4592CFF6">
            <w:pPr>
              <w:widowControl/>
              <w:spacing w:after="0" w:line="240" w:lineRule="auto"/>
              <w:jc w:val="center"/>
              <w:rPr>
                <w:kern w:val="0"/>
                <w:sz w:val="24"/>
                <w:szCs w:val="24"/>
              </w:rPr>
            </w:pPr>
            <w:r>
              <w:rPr>
                <w:kern w:val="0"/>
                <w:sz w:val="24"/>
                <w:szCs w:val="24"/>
              </w:rPr>
              <w:t>2024-2027</w:t>
            </w:r>
          </w:p>
        </w:tc>
        <w:tc>
          <w:tcPr>
            <w:tcW w:w="1559" w:type="dxa"/>
            <w:vAlign w:val="center"/>
          </w:tcPr>
          <w:p w14:paraId="7C476C09">
            <w:pPr>
              <w:widowControl/>
              <w:spacing w:after="0" w:line="240" w:lineRule="auto"/>
              <w:jc w:val="center"/>
              <w:rPr>
                <w:kern w:val="0"/>
                <w:sz w:val="24"/>
                <w:szCs w:val="24"/>
              </w:rPr>
            </w:pPr>
            <w:r>
              <w:rPr>
                <w:rFonts w:hint="eastAsia"/>
                <w:kern w:val="0"/>
                <w:sz w:val="24"/>
                <w:szCs w:val="24"/>
                <w:lang w:val="en-US" w:eastAsia="zh-CN"/>
              </w:rPr>
              <w:t>1.61</w:t>
            </w:r>
            <w:r>
              <w:rPr>
                <w:kern w:val="0"/>
                <w:sz w:val="24"/>
                <w:szCs w:val="24"/>
              </w:rPr>
              <w:t xml:space="preserve"> </w:t>
            </w:r>
          </w:p>
        </w:tc>
        <w:tc>
          <w:tcPr>
            <w:tcW w:w="1223" w:type="dxa"/>
            <w:vAlign w:val="center"/>
          </w:tcPr>
          <w:p w14:paraId="3C489DA0">
            <w:pPr>
              <w:widowControl/>
              <w:spacing w:after="0" w:line="240" w:lineRule="auto"/>
              <w:jc w:val="center"/>
              <w:rPr>
                <w:kern w:val="0"/>
                <w:sz w:val="24"/>
                <w:szCs w:val="24"/>
              </w:rPr>
            </w:pPr>
            <w:r>
              <w:rPr>
                <w:kern w:val="0"/>
                <w:sz w:val="24"/>
                <w:szCs w:val="24"/>
              </w:rPr>
              <w:t>厚街镇</w:t>
            </w:r>
          </w:p>
        </w:tc>
        <w:tc>
          <w:tcPr>
            <w:tcW w:w="1530" w:type="dxa"/>
            <w:vAlign w:val="center"/>
          </w:tcPr>
          <w:p w14:paraId="13147C0B">
            <w:pPr>
              <w:widowControl/>
              <w:spacing w:after="0" w:line="240" w:lineRule="auto"/>
              <w:jc w:val="center"/>
              <w:rPr>
                <w:kern w:val="0"/>
                <w:sz w:val="24"/>
                <w:szCs w:val="24"/>
              </w:rPr>
            </w:pPr>
            <w:r>
              <w:rPr>
                <w:kern w:val="0"/>
                <w:sz w:val="24"/>
                <w:szCs w:val="24"/>
              </w:rPr>
              <w:t>东莞市东厚安居建设有限公司</w:t>
            </w:r>
          </w:p>
        </w:tc>
      </w:tr>
      <w:tr w14:paraId="606A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dxa"/>
            <w:vAlign w:val="center"/>
          </w:tcPr>
          <w:p w14:paraId="4A5C80AC">
            <w:pPr>
              <w:widowControl/>
              <w:spacing w:after="0" w:line="240" w:lineRule="auto"/>
              <w:jc w:val="center"/>
              <w:rPr>
                <w:kern w:val="0"/>
                <w:sz w:val="24"/>
                <w:szCs w:val="24"/>
              </w:rPr>
            </w:pPr>
            <w:r>
              <w:rPr>
                <w:kern w:val="0"/>
                <w:sz w:val="24"/>
                <w:szCs w:val="24"/>
              </w:rPr>
              <w:t>11</w:t>
            </w:r>
          </w:p>
        </w:tc>
        <w:tc>
          <w:tcPr>
            <w:tcW w:w="2186" w:type="dxa"/>
            <w:vAlign w:val="center"/>
          </w:tcPr>
          <w:p w14:paraId="6A4EABDA">
            <w:pPr>
              <w:widowControl/>
              <w:spacing w:after="0" w:line="240" w:lineRule="auto"/>
              <w:jc w:val="center"/>
              <w:rPr>
                <w:kern w:val="0"/>
                <w:sz w:val="24"/>
                <w:szCs w:val="24"/>
              </w:rPr>
            </w:pPr>
            <w:r>
              <w:rPr>
                <w:kern w:val="0"/>
                <w:sz w:val="24"/>
                <w:szCs w:val="24"/>
              </w:rPr>
              <w:t>东城樟村保障性住房</w:t>
            </w:r>
          </w:p>
        </w:tc>
        <w:tc>
          <w:tcPr>
            <w:tcW w:w="4985" w:type="dxa"/>
            <w:vAlign w:val="center"/>
          </w:tcPr>
          <w:p w14:paraId="3AD2CBD9">
            <w:pPr>
              <w:widowControl/>
              <w:spacing w:after="0" w:line="240" w:lineRule="auto"/>
              <w:jc w:val="left"/>
              <w:rPr>
                <w:kern w:val="0"/>
                <w:sz w:val="24"/>
                <w:szCs w:val="24"/>
              </w:rPr>
            </w:pPr>
            <w:r>
              <w:rPr>
                <w:kern w:val="0"/>
                <w:sz w:val="24"/>
                <w:szCs w:val="24"/>
              </w:rPr>
              <w:t>用地面积5509.9平方米，总建筑面积27702.8平方米，建</w:t>
            </w:r>
            <w:r>
              <w:rPr>
                <w:rFonts w:hint="eastAsia"/>
                <w:kern w:val="0"/>
                <w:sz w:val="24"/>
                <w:szCs w:val="24"/>
                <w:lang w:eastAsia="zh-CN"/>
              </w:rPr>
              <w:t>设</w:t>
            </w:r>
            <w:r>
              <w:rPr>
                <w:kern w:val="0"/>
                <w:sz w:val="24"/>
                <w:szCs w:val="24"/>
              </w:rPr>
              <w:t>保障性住房198套。</w:t>
            </w:r>
          </w:p>
        </w:tc>
        <w:tc>
          <w:tcPr>
            <w:tcW w:w="1278" w:type="dxa"/>
            <w:vAlign w:val="center"/>
          </w:tcPr>
          <w:p w14:paraId="672A61B3">
            <w:pPr>
              <w:widowControl/>
              <w:spacing w:after="0" w:line="240" w:lineRule="auto"/>
              <w:jc w:val="center"/>
              <w:rPr>
                <w:kern w:val="0"/>
                <w:sz w:val="24"/>
                <w:szCs w:val="24"/>
              </w:rPr>
            </w:pPr>
            <w:r>
              <w:rPr>
                <w:kern w:val="0"/>
                <w:sz w:val="24"/>
                <w:szCs w:val="24"/>
              </w:rPr>
              <w:t>2024-2027</w:t>
            </w:r>
          </w:p>
        </w:tc>
        <w:tc>
          <w:tcPr>
            <w:tcW w:w="1559" w:type="dxa"/>
            <w:vAlign w:val="center"/>
          </w:tcPr>
          <w:p w14:paraId="57D29A40">
            <w:pPr>
              <w:widowControl/>
              <w:spacing w:after="0" w:line="240" w:lineRule="auto"/>
              <w:jc w:val="center"/>
              <w:rPr>
                <w:kern w:val="0"/>
                <w:sz w:val="24"/>
                <w:szCs w:val="24"/>
              </w:rPr>
            </w:pPr>
            <w:r>
              <w:rPr>
                <w:rFonts w:hint="eastAsia"/>
                <w:kern w:val="0"/>
                <w:sz w:val="24"/>
                <w:szCs w:val="24"/>
                <w:lang w:val="en-US" w:eastAsia="zh-CN"/>
              </w:rPr>
              <w:t>0.94</w:t>
            </w:r>
          </w:p>
        </w:tc>
        <w:tc>
          <w:tcPr>
            <w:tcW w:w="1223" w:type="dxa"/>
            <w:vAlign w:val="center"/>
          </w:tcPr>
          <w:p w14:paraId="5207E3EF">
            <w:pPr>
              <w:widowControl/>
              <w:spacing w:after="0" w:line="240" w:lineRule="auto"/>
              <w:jc w:val="center"/>
              <w:rPr>
                <w:kern w:val="0"/>
                <w:sz w:val="24"/>
                <w:szCs w:val="24"/>
              </w:rPr>
            </w:pPr>
            <w:r>
              <w:rPr>
                <w:kern w:val="0"/>
                <w:sz w:val="24"/>
                <w:szCs w:val="24"/>
              </w:rPr>
              <w:t>东城街道</w:t>
            </w:r>
          </w:p>
        </w:tc>
        <w:tc>
          <w:tcPr>
            <w:tcW w:w="1530" w:type="dxa"/>
            <w:vAlign w:val="center"/>
          </w:tcPr>
          <w:p w14:paraId="41FCA7E6">
            <w:pPr>
              <w:widowControl/>
              <w:spacing w:after="0" w:line="240" w:lineRule="auto"/>
              <w:jc w:val="center"/>
              <w:rPr>
                <w:kern w:val="0"/>
                <w:sz w:val="24"/>
                <w:szCs w:val="24"/>
              </w:rPr>
            </w:pPr>
            <w:r>
              <w:rPr>
                <w:kern w:val="0"/>
                <w:sz w:val="24"/>
                <w:szCs w:val="24"/>
              </w:rPr>
              <w:t>东莞市旗粤安居建设有限公司</w:t>
            </w:r>
          </w:p>
        </w:tc>
      </w:tr>
      <w:tr w14:paraId="7B71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0" w:type="dxa"/>
            <w:vAlign w:val="center"/>
          </w:tcPr>
          <w:p w14:paraId="04500D8A">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12</w:t>
            </w:r>
          </w:p>
        </w:tc>
        <w:tc>
          <w:tcPr>
            <w:tcW w:w="2186" w:type="dxa"/>
            <w:vAlign w:val="center"/>
          </w:tcPr>
          <w:p w14:paraId="1877A933">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东莞市南城区环城路与东莞大道交汇处保障性住房项目</w:t>
            </w:r>
          </w:p>
        </w:tc>
        <w:tc>
          <w:tcPr>
            <w:tcW w:w="4985" w:type="dxa"/>
            <w:vAlign w:val="center"/>
          </w:tcPr>
          <w:p w14:paraId="1B6515CB">
            <w:pPr>
              <w:widowControl/>
              <w:spacing w:after="0" w:line="240" w:lineRule="auto"/>
              <w:jc w:val="left"/>
              <w:rPr>
                <w:kern w:val="0"/>
                <w:sz w:val="24"/>
                <w:szCs w:val="24"/>
              </w:rPr>
            </w:pPr>
            <w:r>
              <w:rPr>
                <w:kern w:val="0"/>
                <w:sz w:val="24"/>
                <w:szCs w:val="24"/>
              </w:rPr>
              <w:t>用地面积1946</w:t>
            </w:r>
            <w:r>
              <w:rPr>
                <w:rFonts w:hint="eastAsia"/>
                <w:kern w:val="0"/>
                <w:sz w:val="24"/>
                <w:szCs w:val="24"/>
                <w:lang w:val="en-US" w:eastAsia="zh-CN"/>
              </w:rPr>
              <w:t>0</w:t>
            </w:r>
            <w:r>
              <w:rPr>
                <w:kern w:val="0"/>
                <w:sz w:val="24"/>
                <w:szCs w:val="24"/>
              </w:rPr>
              <w:t>平方米，总建筑面积约8</w:t>
            </w:r>
            <w:r>
              <w:rPr>
                <w:rFonts w:hint="eastAsia"/>
                <w:kern w:val="0"/>
                <w:sz w:val="24"/>
                <w:szCs w:val="24"/>
              </w:rPr>
              <w:t>3012</w:t>
            </w:r>
            <w:r>
              <w:rPr>
                <w:rFonts w:hint="eastAsia"/>
                <w:kern w:val="0"/>
                <w:sz w:val="24"/>
                <w:szCs w:val="24"/>
                <w:lang w:val="en-US" w:eastAsia="zh-CN"/>
              </w:rPr>
              <w:t>.36</w:t>
            </w:r>
            <w:r>
              <w:rPr>
                <w:kern w:val="0"/>
                <w:sz w:val="24"/>
                <w:szCs w:val="24"/>
              </w:rPr>
              <w:t>平方米，建</w:t>
            </w:r>
            <w:r>
              <w:rPr>
                <w:rFonts w:hint="eastAsia"/>
                <w:kern w:val="0"/>
                <w:sz w:val="24"/>
                <w:szCs w:val="24"/>
                <w:lang w:eastAsia="zh-CN"/>
              </w:rPr>
              <w:t>设</w:t>
            </w:r>
            <w:r>
              <w:rPr>
                <w:kern w:val="0"/>
                <w:sz w:val="24"/>
                <w:szCs w:val="24"/>
              </w:rPr>
              <w:t>保障性住房5</w:t>
            </w:r>
            <w:r>
              <w:rPr>
                <w:rFonts w:hint="eastAsia"/>
                <w:kern w:val="0"/>
                <w:sz w:val="24"/>
                <w:szCs w:val="24"/>
              </w:rPr>
              <w:t>1</w:t>
            </w:r>
            <w:r>
              <w:rPr>
                <w:kern w:val="0"/>
                <w:sz w:val="24"/>
                <w:szCs w:val="24"/>
              </w:rPr>
              <w:t>0套。</w:t>
            </w:r>
          </w:p>
        </w:tc>
        <w:tc>
          <w:tcPr>
            <w:tcW w:w="1278" w:type="dxa"/>
            <w:vAlign w:val="center"/>
          </w:tcPr>
          <w:p w14:paraId="7F9527D9">
            <w:pPr>
              <w:widowControl/>
              <w:spacing w:after="0" w:line="240" w:lineRule="auto"/>
              <w:jc w:val="center"/>
              <w:rPr>
                <w:kern w:val="0"/>
                <w:sz w:val="24"/>
                <w:szCs w:val="24"/>
              </w:rPr>
            </w:pPr>
            <w:r>
              <w:rPr>
                <w:kern w:val="0"/>
                <w:sz w:val="24"/>
                <w:szCs w:val="24"/>
              </w:rPr>
              <w:t>2025-2028</w:t>
            </w:r>
          </w:p>
        </w:tc>
        <w:tc>
          <w:tcPr>
            <w:tcW w:w="1559" w:type="dxa"/>
            <w:vAlign w:val="center"/>
          </w:tcPr>
          <w:p w14:paraId="54EBE5A7">
            <w:pPr>
              <w:widowControl/>
              <w:spacing w:after="0" w:line="240" w:lineRule="auto"/>
              <w:jc w:val="center"/>
              <w:rPr>
                <w:kern w:val="0"/>
                <w:sz w:val="24"/>
                <w:szCs w:val="24"/>
              </w:rPr>
            </w:pPr>
            <w:r>
              <w:rPr>
                <w:rFonts w:hint="eastAsia"/>
                <w:kern w:val="0"/>
                <w:sz w:val="24"/>
                <w:szCs w:val="24"/>
                <w:lang w:val="en-US" w:eastAsia="zh-CN"/>
              </w:rPr>
              <w:t>3</w:t>
            </w:r>
          </w:p>
        </w:tc>
        <w:tc>
          <w:tcPr>
            <w:tcW w:w="1223" w:type="dxa"/>
            <w:vAlign w:val="center"/>
          </w:tcPr>
          <w:p w14:paraId="7BAB422A">
            <w:pPr>
              <w:widowControl/>
              <w:spacing w:after="0" w:line="240" w:lineRule="auto"/>
              <w:jc w:val="center"/>
              <w:rPr>
                <w:kern w:val="0"/>
                <w:sz w:val="24"/>
                <w:szCs w:val="24"/>
              </w:rPr>
            </w:pPr>
            <w:r>
              <w:rPr>
                <w:kern w:val="0"/>
                <w:sz w:val="24"/>
                <w:szCs w:val="24"/>
              </w:rPr>
              <w:t>南城街道</w:t>
            </w:r>
          </w:p>
        </w:tc>
        <w:tc>
          <w:tcPr>
            <w:tcW w:w="1530" w:type="dxa"/>
            <w:vAlign w:val="center"/>
          </w:tcPr>
          <w:p w14:paraId="666725BE">
            <w:pPr>
              <w:widowControl/>
              <w:spacing w:after="0" w:line="240" w:lineRule="auto"/>
              <w:jc w:val="center"/>
              <w:rPr>
                <w:kern w:val="0"/>
                <w:sz w:val="24"/>
                <w:szCs w:val="24"/>
              </w:rPr>
            </w:pPr>
            <w:r>
              <w:rPr>
                <w:kern w:val="0"/>
                <w:sz w:val="24"/>
                <w:szCs w:val="24"/>
              </w:rPr>
              <w:t>东莞市旗进安居建设有限公司</w:t>
            </w:r>
          </w:p>
        </w:tc>
      </w:tr>
      <w:tr w14:paraId="07E5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trPr>
        <w:tc>
          <w:tcPr>
            <w:tcW w:w="510" w:type="dxa"/>
            <w:vAlign w:val="center"/>
          </w:tcPr>
          <w:p w14:paraId="7056CAA2">
            <w:pPr>
              <w:widowControl/>
              <w:spacing w:after="0" w:line="240" w:lineRule="auto"/>
              <w:jc w:val="center"/>
              <w:rPr>
                <w:kern w:val="0"/>
                <w:sz w:val="24"/>
                <w:szCs w:val="24"/>
              </w:rPr>
            </w:pPr>
            <w:r>
              <w:rPr>
                <w:kern w:val="0"/>
                <w:sz w:val="24"/>
                <w:szCs w:val="24"/>
              </w:rPr>
              <w:t>13</w:t>
            </w:r>
          </w:p>
        </w:tc>
        <w:tc>
          <w:tcPr>
            <w:tcW w:w="2186" w:type="dxa"/>
            <w:vAlign w:val="center"/>
          </w:tcPr>
          <w:p w14:paraId="7F5C8FD3">
            <w:pPr>
              <w:widowControl/>
              <w:spacing w:after="0" w:line="240" w:lineRule="auto"/>
              <w:jc w:val="center"/>
              <w:rPr>
                <w:kern w:val="0"/>
                <w:sz w:val="24"/>
                <w:szCs w:val="24"/>
              </w:rPr>
            </w:pPr>
            <w:r>
              <w:rPr>
                <w:kern w:val="0"/>
                <w:sz w:val="24"/>
                <w:szCs w:val="24"/>
              </w:rPr>
              <w:t>望牛墩镇环鸡心岛园区保障性租赁住房项目</w:t>
            </w:r>
          </w:p>
        </w:tc>
        <w:tc>
          <w:tcPr>
            <w:tcW w:w="4985" w:type="dxa"/>
            <w:vAlign w:val="center"/>
          </w:tcPr>
          <w:p w14:paraId="75C37D54">
            <w:pPr>
              <w:widowControl/>
              <w:spacing w:after="0" w:line="240" w:lineRule="auto"/>
              <w:jc w:val="left"/>
              <w:rPr>
                <w:kern w:val="0"/>
                <w:sz w:val="24"/>
                <w:szCs w:val="24"/>
              </w:rPr>
            </w:pPr>
            <w:r>
              <w:rPr>
                <w:rFonts w:hint="eastAsia"/>
                <w:kern w:val="0"/>
                <w:sz w:val="24"/>
                <w:szCs w:val="24"/>
              </w:rPr>
              <w:t>用地面积20927平方米，总建筑面积8</w:t>
            </w:r>
            <w:r>
              <w:rPr>
                <w:rFonts w:hint="eastAsia"/>
                <w:kern w:val="0"/>
                <w:sz w:val="24"/>
                <w:szCs w:val="24"/>
                <w:lang w:val="en-US" w:eastAsia="zh-CN"/>
              </w:rPr>
              <w:t>0375</w:t>
            </w:r>
            <w:r>
              <w:rPr>
                <w:rFonts w:hint="eastAsia"/>
                <w:kern w:val="0"/>
                <w:sz w:val="24"/>
                <w:szCs w:val="24"/>
              </w:rPr>
              <w:t>平方米，拟建设保障性租赁住房10</w:t>
            </w:r>
            <w:r>
              <w:rPr>
                <w:rFonts w:hint="eastAsia"/>
                <w:kern w:val="0"/>
                <w:sz w:val="24"/>
                <w:szCs w:val="24"/>
                <w:lang w:val="en-US" w:eastAsia="zh-CN"/>
              </w:rPr>
              <w:t>23</w:t>
            </w:r>
            <w:r>
              <w:rPr>
                <w:rFonts w:hint="eastAsia"/>
                <w:kern w:val="0"/>
                <w:sz w:val="24"/>
                <w:szCs w:val="24"/>
              </w:rPr>
              <w:t>套。</w:t>
            </w:r>
          </w:p>
        </w:tc>
        <w:tc>
          <w:tcPr>
            <w:tcW w:w="1278" w:type="dxa"/>
            <w:vAlign w:val="center"/>
          </w:tcPr>
          <w:p w14:paraId="6E8AFD57">
            <w:pPr>
              <w:widowControl/>
              <w:spacing w:after="0" w:line="240" w:lineRule="auto"/>
              <w:jc w:val="center"/>
              <w:rPr>
                <w:kern w:val="0"/>
                <w:sz w:val="24"/>
                <w:szCs w:val="24"/>
              </w:rPr>
            </w:pPr>
            <w:r>
              <w:rPr>
                <w:kern w:val="0"/>
                <w:sz w:val="24"/>
                <w:szCs w:val="24"/>
              </w:rPr>
              <w:t>2026-2029</w:t>
            </w:r>
          </w:p>
        </w:tc>
        <w:tc>
          <w:tcPr>
            <w:tcW w:w="1559" w:type="dxa"/>
            <w:vAlign w:val="center"/>
          </w:tcPr>
          <w:p w14:paraId="66184149">
            <w:pPr>
              <w:widowControl/>
              <w:spacing w:after="0" w:line="240" w:lineRule="auto"/>
              <w:jc w:val="center"/>
              <w:rPr>
                <w:kern w:val="0"/>
                <w:sz w:val="24"/>
                <w:szCs w:val="24"/>
              </w:rPr>
            </w:pPr>
            <w:r>
              <w:rPr>
                <w:rFonts w:hint="eastAsia"/>
                <w:kern w:val="0"/>
                <w:sz w:val="24"/>
                <w:szCs w:val="24"/>
                <w:lang w:val="en-US" w:eastAsia="zh-CN"/>
              </w:rPr>
              <w:t>3.85</w:t>
            </w:r>
          </w:p>
        </w:tc>
        <w:tc>
          <w:tcPr>
            <w:tcW w:w="1223" w:type="dxa"/>
            <w:vAlign w:val="center"/>
          </w:tcPr>
          <w:p w14:paraId="6B9E4022">
            <w:pPr>
              <w:widowControl/>
              <w:spacing w:after="0" w:line="240" w:lineRule="auto"/>
              <w:jc w:val="center"/>
              <w:rPr>
                <w:kern w:val="0"/>
                <w:sz w:val="24"/>
                <w:szCs w:val="24"/>
              </w:rPr>
            </w:pPr>
            <w:r>
              <w:rPr>
                <w:kern w:val="0"/>
                <w:sz w:val="24"/>
                <w:szCs w:val="24"/>
              </w:rPr>
              <w:t>望牛墩镇</w:t>
            </w:r>
          </w:p>
        </w:tc>
        <w:tc>
          <w:tcPr>
            <w:tcW w:w="1530" w:type="dxa"/>
            <w:vAlign w:val="center"/>
          </w:tcPr>
          <w:p w14:paraId="74FB66E7">
            <w:pPr>
              <w:widowControl/>
              <w:spacing w:after="0" w:line="240" w:lineRule="auto"/>
              <w:jc w:val="center"/>
              <w:rPr>
                <w:kern w:val="0"/>
                <w:sz w:val="24"/>
                <w:szCs w:val="24"/>
              </w:rPr>
            </w:pPr>
            <w:r>
              <w:rPr>
                <w:kern w:val="0"/>
                <w:sz w:val="24"/>
                <w:szCs w:val="24"/>
              </w:rPr>
              <w:t>东莞市望溪实业投资有限公司</w:t>
            </w:r>
          </w:p>
        </w:tc>
      </w:tr>
      <w:tr w14:paraId="3B80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trPr>
        <w:tc>
          <w:tcPr>
            <w:tcW w:w="510" w:type="dxa"/>
            <w:vAlign w:val="center"/>
          </w:tcPr>
          <w:p w14:paraId="606D741A">
            <w:pPr>
              <w:widowControl/>
              <w:spacing w:after="0" w:line="240" w:lineRule="auto"/>
              <w:jc w:val="center"/>
              <w:rPr>
                <w:kern w:val="0"/>
                <w:sz w:val="24"/>
                <w:szCs w:val="24"/>
              </w:rPr>
            </w:pPr>
            <w:r>
              <w:rPr>
                <w:kern w:val="0"/>
                <w:sz w:val="24"/>
                <w:szCs w:val="24"/>
              </w:rPr>
              <w:t>14</w:t>
            </w:r>
          </w:p>
        </w:tc>
        <w:tc>
          <w:tcPr>
            <w:tcW w:w="2186" w:type="dxa"/>
            <w:vAlign w:val="center"/>
          </w:tcPr>
          <w:p w14:paraId="68FF0D88">
            <w:pPr>
              <w:widowControl/>
              <w:spacing w:after="0" w:line="240" w:lineRule="auto"/>
              <w:jc w:val="center"/>
              <w:rPr>
                <w:kern w:val="0"/>
                <w:sz w:val="24"/>
                <w:szCs w:val="24"/>
              </w:rPr>
            </w:pPr>
            <w:r>
              <w:rPr>
                <w:kern w:val="0"/>
                <w:sz w:val="24"/>
                <w:szCs w:val="24"/>
              </w:rPr>
              <w:t>谢岗镇东部片区保障性租赁住房</w:t>
            </w:r>
          </w:p>
        </w:tc>
        <w:tc>
          <w:tcPr>
            <w:tcW w:w="4985" w:type="dxa"/>
            <w:vAlign w:val="center"/>
          </w:tcPr>
          <w:p w14:paraId="3E0AEF8D">
            <w:pPr>
              <w:widowControl/>
              <w:spacing w:after="0" w:line="240" w:lineRule="auto"/>
              <w:jc w:val="left"/>
              <w:rPr>
                <w:kern w:val="0"/>
                <w:sz w:val="24"/>
                <w:szCs w:val="24"/>
              </w:rPr>
            </w:pPr>
            <w:r>
              <w:rPr>
                <w:kern w:val="0"/>
                <w:sz w:val="24"/>
                <w:szCs w:val="24"/>
              </w:rPr>
              <w:t>用地面积41584.65平方米，总建筑面积约17.5万平方米，</w:t>
            </w:r>
            <w:r>
              <w:rPr>
                <w:rFonts w:hint="eastAsia"/>
                <w:kern w:val="0"/>
                <w:sz w:val="24"/>
                <w:szCs w:val="24"/>
              </w:rPr>
              <w:t>建设保障性租赁住房</w:t>
            </w:r>
            <w:r>
              <w:rPr>
                <w:rFonts w:hint="eastAsia"/>
                <w:kern w:val="0"/>
                <w:sz w:val="24"/>
                <w:szCs w:val="24"/>
                <w:lang w:val="en-US" w:eastAsia="zh-CN"/>
              </w:rPr>
              <w:t>2250</w:t>
            </w:r>
            <w:r>
              <w:rPr>
                <w:rFonts w:hint="eastAsia"/>
                <w:kern w:val="0"/>
                <w:sz w:val="24"/>
                <w:szCs w:val="24"/>
              </w:rPr>
              <w:t>套。</w:t>
            </w:r>
          </w:p>
        </w:tc>
        <w:tc>
          <w:tcPr>
            <w:tcW w:w="1278" w:type="dxa"/>
            <w:vAlign w:val="center"/>
          </w:tcPr>
          <w:p w14:paraId="0C6D6209">
            <w:pPr>
              <w:widowControl/>
              <w:spacing w:after="0" w:line="240" w:lineRule="auto"/>
              <w:jc w:val="center"/>
              <w:rPr>
                <w:kern w:val="0"/>
                <w:sz w:val="24"/>
                <w:szCs w:val="24"/>
              </w:rPr>
            </w:pPr>
            <w:r>
              <w:rPr>
                <w:kern w:val="0"/>
                <w:sz w:val="24"/>
                <w:szCs w:val="24"/>
              </w:rPr>
              <w:t>2026-2029</w:t>
            </w:r>
          </w:p>
        </w:tc>
        <w:tc>
          <w:tcPr>
            <w:tcW w:w="1559" w:type="dxa"/>
            <w:vAlign w:val="center"/>
          </w:tcPr>
          <w:p w14:paraId="34B7AA09">
            <w:pPr>
              <w:widowControl/>
              <w:spacing w:after="0" w:line="240" w:lineRule="auto"/>
              <w:jc w:val="center"/>
              <w:rPr>
                <w:kern w:val="0"/>
                <w:sz w:val="24"/>
                <w:szCs w:val="24"/>
              </w:rPr>
            </w:pPr>
            <w:r>
              <w:rPr>
                <w:kern w:val="0"/>
                <w:sz w:val="24"/>
                <w:szCs w:val="24"/>
              </w:rPr>
              <w:t>8.</w:t>
            </w:r>
            <w:r>
              <w:rPr>
                <w:rFonts w:hint="eastAsia"/>
                <w:kern w:val="0"/>
                <w:sz w:val="24"/>
                <w:szCs w:val="24"/>
                <w:lang w:val="en-US" w:eastAsia="zh-CN"/>
              </w:rPr>
              <w:t>64</w:t>
            </w:r>
          </w:p>
        </w:tc>
        <w:tc>
          <w:tcPr>
            <w:tcW w:w="1223" w:type="dxa"/>
            <w:vAlign w:val="center"/>
          </w:tcPr>
          <w:p w14:paraId="413A4639">
            <w:pPr>
              <w:widowControl/>
              <w:spacing w:after="0" w:line="240" w:lineRule="auto"/>
              <w:jc w:val="center"/>
              <w:rPr>
                <w:kern w:val="0"/>
                <w:sz w:val="24"/>
                <w:szCs w:val="24"/>
              </w:rPr>
            </w:pPr>
            <w:r>
              <w:rPr>
                <w:kern w:val="0"/>
                <w:sz w:val="24"/>
                <w:szCs w:val="24"/>
              </w:rPr>
              <w:t>谢岗镇</w:t>
            </w:r>
          </w:p>
        </w:tc>
        <w:tc>
          <w:tcPr>
            <w:tcW w:w="1530" w:type="dxa"/>
            <w:vAlign w:val="center"/>
          </w:tcPr>
          <w:p w14:paraId="177495DA">
            <w:pPr>
              <w:widowControl/>
              <w:spacing w:after="0" w:line="240" w:lineRule="auto"/>
              <w:jc w:val="center"/>
              <w:rPr>
                <w:kern w:val="0"/>
                <w:sz w:val="24"/>
                <w:szCs w:val="24"/>
              </w:rPr>
            </w:pPr>
            <w:r>
              <w:rPr>
                <w:kern w:val="0"/>
                <w:sz w:val="24"/>
                <w:szCs w:val="24"/>
              </w:rPr>
              <w:t>东莞市粤海装备技术产业园控股有限公司</w:t>
            </w:r>
          </w:p>
        </w:tc>
      </w:tr>
      <w:tr w14:paraId="4477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510" w:type="dxa"/>
            <w:vAlign w:val="center"/>
          </w:tcPr>
          <w:p w14:paraId="4B476044">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15</w:t>
            </w:r>
          </w:p>
        </w:tc>
        <w:tc>
          <w:tcPr>
            <w:tcW w:w="2186" w:type="dxa"/>
            <w:vAlign w:val="center"/>
          </w:tcPr>
          <w:p w14:paraId="3B790286">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石排镇现代产业园保障性住房项目</w:t>
            </w:r>
          </w:p>
        </w:tc>
        <w:tc>
          <w:tcPr>
            <w:tcW w:w="4985" w:type="dxa"/>
            <w:vAlign w:val="center"/>
          </w:tcPr>
          <w:p w14:paraId="2AE465A7">
            <w:pPr>
              <w:widowControl/>
              <w:spacing w:after="0" w:line="240" w:lineRule="auto"/>
              <w:jc w:val="left"/>
              <w:rPr>
                <w:color w:val="000000" w:themeColor="text1"/>
                <w:kern w:val="0"/>
                <w:sz w:val="24"/>
                <w:szCs w:val="24"/>
                <w14:textFill>
                  <w14:solidFill>
                    <w14:schemeClr w14:val="tx1"/>
                  </w14:solidFill>
                </w14:textFill>
              </w:rPr>
            </w:pPr>
            <w:r>
              <w:rPr>
                <w:kern w:val="0"/>
                <w:sz w:val="24"/>
                <w:szCs w:val="24"/>
              </w:rPr>
              <w:t>用地面积</w:t>
            </w:r>
            <w:r>
              <w:rPr>
                <w:rFonts w:hint="eastAsia"/>
                <w:kern w:val="0"/>
                <w:sz w:val="24"/>
                <w:szCs w:val="24"/>
                <w:lang w:val="en-US" w:eastAsia="zh-CN"/>
              </w:rPr>
              <w:t>8308.91</w:t>
            </w:r>
            <w:r>
              <w:rPr>
                <w:kern w:val="0"/>
                <w:sz w:val="24"/>
                <w:szCs w:val="24"/>
              </w:rPr>
              <w:t>平方米</w:t>
            </w:r>
            <w:r>
              <w:rPr>
                <w:rFonts w:hint="eastAsia"/>
                <w:color w:val="000000" w:themeColor="text1"/>
                <w:kern w:val="0"/>
                <w:sz w:val="24"/>
                <w:szCs w:val="24"/>
                <w14:textFill>
                  <w14:solidFill>
                    <w14:schemeClr w14:val="tx1"/>
                  </w14:solidFill>
                </w14:textFill>
              </w:rPr>
              <w:t>，总建筑面积</w:t>
            </w:r>
            <w:r>
              <w:rPr>
                <w:color w:val="000000" w:themeColor="text1"/>
                <w:kern w:val="0"/>
                <w:sz w:val="24"/>
                <w:szCs w:val="24"/>
                <w14:textFill>
                  <w14:solidFill>
                    <w14:schemeClr w14:val="tx1"/>
                  </w14:solidFill>
                </w14:textFill>
              </w:rPr>
              <w:t>38918.08</w:t>
            </w:r>
            <w:r>
              <w:rPr>
                <w:rFonts w:hint="eastAsia"/>
                <w:color w:val="000000" w:themeColor="text1"/>
                <w:kern w:val="0"/>
                <w:sz w:val="24"/>
                <w:szCs w:val="24"/>
                <w14:textFill>
                  <w14:solidFill>
                    <w14:schemeClr w14:val="tx1"/>
                  </w14:solidFill>
                </w14:textFill>
              </w:rPr>
              <w:t>平方米，建设保障性住房</w:t>
            </w:r>
            <w:r>
              <w:rPr>
                <w:color w:val="000000" w:themeColor="text1"/>
                <w:kern w:val="0"/>
                <w:sz w:val="24"/>
                <w:szCs w:val="24"/>
                <w14:textFill>
                  <w14:solidFill>
                    <w14:schemeClr w14:val="tx1"/>
                  </w14:solidFill>
                </w14:textFill>
              </w:rPr>
              <w:t>272</w:t>
            </w:r>
            <w:r>
              <w:rPr>
                <w:rFonts w:hint="eastAsia"/>
                <w:color w:val="000000" w:themeColor="text1"/>
                <w:kern w:val="0"/>
                <w:sz w:val="24"/>
                <w:szCs w:val="24"/>
                <w14:textFill>
                  <w14:solidFill>
                    <w14:schemeClr w14:val="tx1"/>
                  </w14:solidFill>
                </w14:textFill>
              </w:rPr>
              <w:t>套。</w:t>
            </w:r>
          </w:p>
        </w:tc>
        <w:tc>
          <w:tcPr>
            <w:tcW w:w="1278" w:type="dxa"/>
            <w:vAlign w:val="center"/>
          </w:tcPr>
          <w:p w14:paraId="0556A3B5">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2026-2029</w:t>
            </w:r>
          </w:p>
        </w:tc>
        <w:tc>
          <w:tcPr>
            <w:tcW w:w="1559" w:type="dxa"/>
            <w:vAlign w:val="center"/>
          </w:tcPr>
          <w:p w14:paraId="0E1D8906">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1.85</w:t>
            </w:r>
          </w:p>
        </w:tc>
        <w:tc>
          <w:tcPr>
            <w:tcW w:w="1223" w:type="dxa"/>
            <w:vAlign w:val="center"/>
          </w:tcPr>
          <w:p w14:paraId="161CAC56">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石排镇</w:t>
            </w:r>
          </w:p>
        </w:tc>
        <w:tc>
          <w:tcPr>
            <w:tcW w:w="1530" w:type="dxa"/>
            <w:vAlign w:val="center"/>
          </w:tcPr>
          <w:p w14:paraId="03E42B57">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东莞市石排对外经济发展有限</w:t>
            </w:r>
            <w:r>
              <w:rPr>
                <w:rFonts w:hint="eastAsia"/>
                <w:color w:val="000000" w:themeColor="text1"/>
                <w:kern w:val="0"/>
                <w:sz w:val="24"/>
                <w:szCs w:val="24"/>
                <w:highlight w:val="none"/>
                <w14:textFill>
                  <w14:solidFill>
                    <w14:schemeClr w14:val="tx1"/>
                  </w14:solidFill>
                </w14:textFill>
              </w:rPr>
              <w:t>公司</w:t>
            </w:r>
          </w:p>
        </w:tc>
      </w:tr>
      <w:tr w14:paraId="29D3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510" w:type="dxa"/>
            <w:vAlign w:val="center"/>
          </w:tcPr>
          <w:p w14:paraId="7BA53036">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16</w:t>
            </w:r>
          </w:p>
        </w:tc>
        <w:tc>
          <w:tcPr>
            <w:tcW w:w="2186" w:type="dxa"/>
            <w:vAlign w:val="center"/>
          </w:tcPr>
          <w:p w14:paraId="79AC9ECB">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东城街道主山社区保障性住房项目</w:t>
            </w:r>
          </w:p>
        </w:tc>
        <w:tc>
          <w:tcPr>
            <w:tcW w:w="4985" w:type="dxa"/>
            <w:vAlign w:val="center"/>
          </w:tcPr>
          <w:p w14:paraId="33643A2A">
            <w:pPr>
              <w:widowControl/>
              <w:spacing w:after="0" w:line="240" w:lineRule="auto"/>
              <w:jc w:val="left"/>
              <w:rPr>
                <w:color w:val="000000" w:themeColor="text1"/>
                <w:kern w:val="0"/>
                <w:sz w:val="24"/>
                <w:szCs w:val="24"/>
                <w14:textFill>
                  <w14:solidFill>
                    <w14:schemeClr w14:val="tx1"/>
                  </w14:solidFill>
                </w14:textFill>
              </w:rPr>
            </w:pPr>
            <w:r>
              <w:rPr>
                <w:kern w:val="0"/>
                <w:sz w:val="24"/>
                <w:szCs w:val="24"/>
              </w:rPr>
              <w:t>用地面积</w:t>
            </w:r>
            <w:r>
              <w:rPr>
                <w:rFonts w:hint="eastAsia"/>
                <w:kern w:val="0"/>
                <w:sz w:val="24"/>
                <w:szCs w:val="24"/>
                <w:lang w:val="en-US" w:eastAsia="zh-CN"/>
              </w:rPr>
              <w:t>9835.6</w:t>
            </w:r>
            <w:r>
              <w:rPr>
                <w:kern w:val="0"/>
                <w:sz w:val="24"/>
                <w:szCs w:val="24"/>
              </w:rPr>
              <w:t>平方米</w:t>
            </w:r>
            <w:r>
              <w:rPr>
                <w:rFonts w:hint="eastAsia"/>
                <w:color w:val="000000" w:themeColor="text1"/>
                <w:kern w:val="0"/>
                <w:sz w:val="24"/>
                <w:szCs w:val="24"/>
                <w14:textFill>
                  <w14:solidFill>
                    <w14:schemeClr w14:val="tx1"/>
                  </w14:solidFill>
                </w14:textFill>
              </w:rPr>
              <w:t>，总建筑面积为</w:t>
            </w:r>
            <w:r>
              <w:rPr>
                <w:rFonts w:hint="eastAsia"/>
                <w:color w:val="000000" w:themeColor="text1"/>
                <w:kern w:val="0"/>
                <w:sz w:val="24"/>
                <w:szCs w:val="24"/>
                <w:lang w:val="en-US" w:eastAsia="zh-CN"/>
                <w14:textFill>
                  <w14:solidFill>
                    <w14:schemeClr w14:val="tx1"/>
                  </w14:solidFill>
                </w14:textFill>
              </w:rPr>
              <w:t>45683.76</w:t>
            </w:r>
            <w:r>
              <w:rPr>
                <w:rFonts w:hint="eastAsia"/>
                <w:color w:val="000000" w:themeColor="text1"/>
                <w:kern w:val="0"/>
                <w:sz w:val="24"/>
                <w:szCs w:val="24"/>
                <w14:textFill>
                  <w14:solidFill>
                    <w14:schemeClr w14:val="tx1"/>
                  </w14:solidFill>
                </w14:textFill>
              </w:rPr>
              <w:t>平方米，拟建设保障性住房2</w:t>
            </w:r>
            <w:r>
              <w:rPr>
                <w:color w:val="000000" w:themeColor="text1"/>
                <w:kern w:val="0"/>
                <w:sz w:val="24"/>
                <w:szCs w:val="24"/>
                <w14:textFill>
                  <w14:solidFill>
                    <w14:schemeClr w14:val="tx1"/>
                  </w14:solidFill>
                </w14:textFill>
              </w:rPr>
              <w:t>88</w:t>
            </w:r>
            <w:r>
              <w:rPr>
                <w:rFonts w:hint="eastAsia"/>
                <w:color w:val="000000" w:themeColor="text1"/>
                <w:kern w:val="0"/>
                <w:sz w:val="24"/>
                <w:szCs w:val="24"/>
                <w14:textFill>
                  <w14:solidFill>
                    <w14:schemeClr w14:val="tx1"/>
                  </w14:solidFill>
                </w14:textFill>
              </w:rPr>
              <w:t>套。</w:t>
            </w:r>
          </w:p>
        </w:tc>
        <w:tc>
          <w:tcPr>
            <w:tcW w:w="1278" w:type="dxa"/>
            <w:vAlign w:val="center"/>
          </w:tcPr>
          <w:p w14:paraId="0012106F">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2026-2029</w:t>
            </w:r>
          </w:p>
        </w:tc>
        <w:tc>
          <w:tcPr>
            <w:tcW w:w="1559" w:type="dxa"/>
            <w:vAlign w:val="center"/>
          </w:tcPr>
          <w:p w14:paraId="17A85B62">
            <w:pPr>
              <w:widowControl/>
              <w:spacing w:after="0" w:line="240" w:lineRule="auto"/>
              <w:jc w:val="center"/>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3.</w:t>
            </w:r>
            <w:r>
              <w:rPr>
                <w:rFonts w:hint="eastAsia"/>
                <w:color w:val="000000" w:themeColor="text1"/>
                <w:kern w:val="0"/>
                <w:sz w:val="24"/>
                <w:szCs w:val="24"/>
                <w:lang w:val="en-US" w:eastAsia="zh-CN"/>
                <w14:textFill>
                  <w14:solidFill>
                    <w14:schemeClr w14:val="tx1"/>
                  </w14:solidFill>
                </w14:textFill>
              </w:rPr>
              <w:t>36</w:t>
            </w:r>
          </w:p>
        </w:tc>
        <w:tc>
          <w:tcPr>
            <w:tcW w:w="1223" w:type="dxa"/>
            <w:vAlign w:val="center"/>
          </w:tcPr>
          <w:p w14:paraId="68A26161">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东城街道</w:t>
            </w:r>
          </w:p>
        </w:tc>
        <w:tc>
          <w:tcPr>
            <w:tcW w:w="1530" w:type="dxa"/>
            <w:vAlign w:val="center"/>
          </w:tcPr>
          <w:p w14:paraId="3384474D">
            <w:pPr>
              <w:widowControl/>
              <w:spacing w:after="0" w:line="240" w:lineRule="auto"/>
              <w:jc w:val="center"/>
              <w:rPr>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东莞广聚智造产业有限公司</w:t>
            </w:r>
          </w:p>
        </w:tc>
      </w:tr>
    </w:tbl>
    <w:p w14:paraId="2EFBE987">
      <w:pPr>
        <w:pStyle w:val="9"/>
        <w:spacing w:line="20" w:lineRule="exact"/>
        <w:rPr>
          <w:rFonts w:ascii="Times New Roman" w:hAnsi="Times New Roman" w:cs="Times New Roman"/>
        </w:rPr>
      </w:pPr>
    </w:p>
    <w:sectPr>
      <w:footerReference r:id="rId13" w:type="default"/>
      <w:pgSz w:w="16838" w:h="11906" w:orient="landscape"/>
      <w:pgMar w:top="1587" w:right="2098" w:bottom="1474" w:left="1984" w:header="851" w:footer="595" w:gutter="0"/>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libri Light">
    <w:altName w:val="DejaVu Sans"/>
    <w:panose1 w:val="020F0302020204030204"/>
    <w:charset w:val="00"/>
    <w:family w:val="swiss"/>
    <w:pitch w:val="default"/>
    <w:sig w:usb0="00000000" w:usb1="00000000" w:usb2="00000000" w:usb3="00000000" w:csb0="2000019F" w:csb1="00000000"/>
  </w:font>
  <w:font w:name="DejaVu Sans">
    <w:panose1 w:val="020B0603030804020204"/>
    <w:charset w:val="00"/>
    <w:family w:val="auto"/>
    <w:pitch w:val="default"/>
    <w:sig w:usb0="E7006EFF" w:usb1="D200FDFF" w:usb2="0A246029" w:usb3="0400200C" w:csb0="600001FF" w:csb1="DFFF0000"/>
  </w:font>
  <w:font w:name="小标宋">
    <w:altName w:val="方正小标宋_GBK"/>
    <w:panose1 w:val="00000000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等线">
    <w:altName w:val="华文细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EB64D">
    <w:pPr>
      <w:pStyle w:val="18"/>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6A949">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80B50">
    <w:pPr>
      <w:pStyle w:val="18"/>
      <w:ind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BC220">
    <w:pPr>
      <w:pStyle w:val="1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DF8E0">
    <w:pPr>
      <w:pStyle w:val="18"/>
      <w:ind w:firstLine="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4C46C">
    <w:pPr>
      <w:pStyle w:val="18"/>
      <w:ind w:firstLine="360"/>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38100" cy="482600"/>
              <wp:effectExtent l="0" t="0" r="0" b="0"/>
              <wp:wrapNone/>
              <wp:docPr id="8" name="矩形 3"/>
              <wp:cNvGraphicFramePr/>
              <a:graphic xmlns:a="http://schemas.openxmlformats.org/drawingml/2006/main">
                <a:graphicData uri="http://schemas.microsoft.com/office/word/2010/wordprocessingShape">
                  <wps:wsp>
                    <wps:cNvSpPr/>
                    <wps:spPr>
                      <a:xfrm>
                        <a:off x="0" y="0"/>
                        <a:ext cx="38100" cy="482600"/>
                      </a:xfrm>
                      <a:prstGeom prst="rect">
                        <a:avLst/>
                      </a:prstGeom>
                      <a:ln>
                        <a:noFill/>
                      </a:ln>
                    </wps:spPr>
                    <wps:txbx>
                      <w:txbxContent>
                        <w:p w14:paraId="73DAD704">
                          <w:pPr>
                            <w:pStyle w:val="18"/>
                          </w:pPr>
                          <w:r>
                            <w:fldChar w:fldCharType="begin"/>
                          </w:r>
                          <w:r>
                            <w:instrText xml:space="preserve"> PAGE  \* MERGEFORMAT </w:instrText>
                          </w:r>
                          <w:r>
                            <w:fldChar w:fldCharType="separate"/>
                          </w:r>
                          <w:r>
                            <w:t>I</w:t>
                          </w:r>
                          <w:r>
                            <w:fldChar w:fldCharType="end"/>
                          </w:r>
                        </w:p>
                      </w:txbxContent>
                    </wps:txbx>
                    <wps:bodyPr vert="horz" wrap="none" lIns="0" tIns="0" rIns="0" bIns="0" anchor="t">
                      <a:spAutoFit/>
                    </wps:bodyPr>
                  </wps:wsp>
                </a:graphicData>
              </a:graphic>
            </wp:anchor>
          </w:drawing>
        </mc:Choice>
        <mc:Fallback>
          <w:pict>
            <v:rect id="矩形 3" o:spid="_x0000_s1026" o:spt="1" style="position:absolute;left:0pt;margin-top:0pt;height:38pt;width:3pt;mso-position-horizontal:center;mso-position-horizontal-relative:margin;mso-wrap-style:none;z-index:251660288;mso-width-relative:page;mso-height-relative:page;" filled="f" stroked="f" coordsize="21600,21600" o:gfxdata="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1Icrcs8AAAACAQAADwAAAAAAAAABACAAAAAiAAAAZHJzL2Rvd25yZXYueG1sUEsB&#10;AhQAFAAAAAgAh07iQMJdUnzFAQAAiQMAAA4AAAAAAAAAAQAgAAAAHgEAAGRycy9lMm9Eb2MueG1s&#10;UEsFBgAAAAAGAAYAWQEAAFUFAAAAAA==&#10;">
              <v:fill on="f" focussize="0,0"/>
              <v:stroke on="f"/>
              <v:imagedata o:title=""/>
              <o:lock v:ext="edit" aspectratio="f"/>
              <v:textbox inset="0mm,0mm,0mm,0mm" style="mso-fit-shape-to-text:t;">
                <w:txbxContent>
                  <w:p w14:paraId="73DAD704">
                    <w:pPr>
                      <w:pStyle w:val="18"/>
                    </w:pPr>
                    <w:r>
                      <w:fldChar w:fldCharType="begin"/>
                    </w:r>
                    <w:r>
                      <w:instrText xml:space="preserve"> PAGE  \* MERGEFORMAT </w:instrText>
                    </w:r>
                    <w:r>
                      <w:fldChar w:fldCharType="separate"/>
                    </w:r>
                    <w:r>
                      <w:t>I</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FC840">
    <w:pPr>
      <w:pStyle w:val="18"/>
      <w:ind w:firstLine="360"/>
      <w:jc w:val="center"/>
    </w:pPr>
    <w:r>
      <mc:AlternateContent>
        <mc:Choice Requires="wps">
          <w:drawing>
            <wp:anchor distT="0" distB="0" distL="0" distR="0" simplePos="0" relativeHeight="251661312" behindDoc="0" locked="0" layoutInCell="1" allowOverlap="1">
              <wp:simplePos x="0" y="0"/>
              <wp:positionH relativeFrom="margin">
                <wp:posOffset>2592705</wp:posOffset>
              </wp:positionH>
              <wp:positionV relativeFrom="paragraph">
                <wp:posOffset>-4445</wp:posOffset>
              </wp:positionV>
              <wp:extent cx="222250" cy="482600"/>
              <wp:effectExtent l="0" t="0" r="0" b="0"/>
              <wp:wrapNone/>
              <wp:docPr id="9" name="矩形 5"/>
              <wp:cNvGraphicFramePr/>
              <a:graphic xmlns:a="http://schemas.openxmlformats.org/drawingml/2006/main">
                <a:graphicData uri="http://schemas.microsoft.com/office/word/2010/wordprocessingShape">
                  <wps:wsp>
                    <wps:cNvSpPr/>
                    <wps:spPr>
                      <a:xfrm>
                        <a:off x="0" y="0"/>
                        <a:ext cx="222250" cy="482600"/>
                      </a:xfrm>
                      <a:prstGeom prst="rect">
                        <a:avLst/>
                      </a:prstGeom>
                      <a:ln>
                        <a:noFill/>
                      </a:ln>
                    </wps:spPr>
                    <wps:txbx>
                      <w:txbxContent>
                        <w:p w14:paraId="01ABECBE">
                          <w:pPr>
                            <w:pStyle w:val="18"/>
                          </w:pPr>
                          <w:r>
                            <w:fldChar w:fldCharType="begin"/>
                          </w:r>
                          <w:r>
                            <w:instrText xml:space="preserve"> PAGE  \* MERGEFORMAT </w:instrText>
                          </w:r>
                          <w:r>
                            <w:fldChar w:fldCharType="separate"/>
                          </w:r>
                          <w:r>
                            <w:t>22</w:t>
                          </w:r>
                          <w:r>
                            <w:fldChar w:fldCharType="end"/>
                          </w:r>
                        </w:p>
                      </w:txbxContent>
                    </wps:txbx>
                    <wps:bodyPr vert="horz" wrap="square" lIns="0" tIns="0" rIns="0" bIns="0" anchor="t">
                      <a:spAutoFit/>
                    </wps:bodyPr>
                  </wps:wsp>
                </a:graphicData>
              </a:graphic>
            </wp:anchor>
          </w:drawing>
        </mc:Choice>
        <mc:Fallback>
          <w:pict>
            <v:rect id="矩形 5" o:spid="_x0000_s1026" o:spt="1" style="position:absolute;left:0pt;margin-left:204.15pt;margin-top:-0.35pt;height:38pt;width:17.5pt;mso-position-horizontal-relative:margin;z-index:251661312;mso-width-relative:page;mso-height-relative:page;" filled="f" stroked="f" coordsize="21600,21600" o:gfxdata="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zqGA9gAAAAIAQAADwAAAAAAAAABACAAAAAiAAAAZHJzL2Rv&#10;d25yZXYueG1sUEsBAhQAFAAAAAgAh07iQNP6AI/IAQAAjAMAAA4AAAAAAAAAAQAgAAAAJwEAAGRy&#10;cy9lMm9Eb2MueG1sUEsFBgAAAAAGAAYAWQEAAGEFAAAAAA==&#10;">
              <v:fill on="f" focussize="0,0"/>
              <v:stroke on="f"/>
              <v:imagedata o:title=""/>
              <o:lock v:ext="edit" aspectratio="f"/>
              <v:textbox inset="0mm,0mm,0mm,0mm" style="mso-fit-shape-to-text:t;">
                <w:txbxContent>
                  <w:p w14:paraId="01ABECBE">
                    <w:pPr>
                      <w:pStyle w:val="18"/>
                    </w:pPr>
                    <w:r>
                      <w:fldChar w:fldCharType="begin"/>
                    </w:r>
                    <w:r>
                      <w:instrText xml:space="preserve"> PAGE  \* MERGEFORMAT </w:instrText>
                    </w:r>
                    <w:r>
                      <w:fldChar w:fldCharType="separate"/>
                    </w:r>
                    <w:r>
                      <w:t>22</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CF5AE">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5080</wp:posOffset>
              </wp:positionV>
              <wp:extent cx="313690" cy="482600"/>
              <wp:effectExtent l="0" t="0" r="0" b="0"/>
              <wp:wrapNone/>
              <wp:docPr id="1738108604" name="矩形 1"/>
              <wp:cNvGraphicFramePr/>
              <a:graphic xmlns:a="http://schemas.openxmlformats.org/drawingml/2006/main">
                <a:graphicData uri="http://schemas.microsoft.com/office/word/2010/wordprocessingShape">
                  <wps:wsp>
                    <wps:cNvSpPr/>
                    <wps:spPr>
                      <a:xfrm flipH="1">
                        <a:off x="0" y="0"/>
                        <a:ext cx="313690" cy="482600"/>
                      </a:xfrm>
                      <a:prstGeom prst="rect">
                        <a:avLst/>
                      </a:prstGeom>
                      <a:ln>
                        <a:noFill/>
                      </a:ln>
                    </wps:spPr>
                    <wps:txbx>
                      <w:txbxContent>
                        <w:p w14:paraId="1EA8F6CB">
                          <w:pPr>
                            <w:pStyle w:val="18"/>
                            <w:jc w:val="center"/>
                          </w:pPr>
                          <w:r>
                            <w:fldChar w:fldCharType="begin"/>
                          </w:r>
                          <w:r>
                            <w:instrText xml:space="preserve"> PAGE  \* MERGEFORMAT </w:instrText>
                          </w:r>
                          <w:r>
                            <w:fldChar w:fldCharType="separate"/>
                          </w:r>
                          <w:r>
                            <w:t>29</w:t>
                          </w:r>
                          <w:r>
                            <w:fldChar w:fldCharType="end"/>
                          </w:r>
                        </w:p>
                      </w:txbxContent>
                    </wps:txbx>
                    <wps:bodyPr vert="horz" wrap="square" lIns="0" tIns="0" rIns="0" bIns="0" anchor="t">
                      <a:spAutoFit/>
                    </wps:bodyPr>
                  </wps:wsp>
                </a:graphicData>
              </a:graphic>
            </wp:anchor>
          </w:drawing>
        </mc:Choice>
        <mc:Fallback>
          <w:pict>
            <v:rect id="矩形 1" o:spid="_x0000_s1026" o:spt="1" style="position:absolute;left:0pt;flip:x;margin-top:0.4pt;height:38pt;width:24.7pt;mso-position-horizontal:center;mso-position-horizontal-relative:margin;z-index:251659264;mso-width-relative:page;mso-height-relative:page;" filled="f" stroked="f" coordsize="21600,21600" o:gfxdata="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3krcg9EAAAADAQAADwAAAAAAAAABACAAAAAi&#10;AAAAZHJzL2Rvd25yZXYueG1sUEsBAhQAFAAAAAgAh07iQIFzCWXYAQAAnwMAAA4AAAAAAAAAAQAg&#10;AAAAIAEAAGRycy9lMm9Eb2MueG1sUEsFBgAAAAAGAAYAWQEAAGoFAAAAAA==&#10;">
              <v:fill on="f" focussize="0,0"/>
              <v:stroke on="f"/>
              <v:imagedata o:title=""/>
              <o:lock v:ext="edit" aspectratio="f"/>
              <v:textbox inset="0mm,0mm,0mm,0mm" style="mso-fit-shape-to-text:t;">
                <w:txbxContent>
                  <w:p w14:paraId="1EA8F6CB">
                    <w:pPr>
                      <w:pStyle w:val="18"/>
                      <w:jc w:val="center"/>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240" w:lineRule="auto"/>
      </w:pPr>
    </w:p>
  </w:footnote>
  <w:footnote w:type="continuationSeparator" w:id="7">
    <w:p>
      <w:pPr>
        <w:spacing w:before="0" w:after="0" w:line="240" w:lineRule="auto"/>
      </w:pPr>
    </w:p>
  </w:footnote>
  <w:footnote w:id="0">
    <w:p w14:paraId="7872F1F6">
      <w:pPr>
        <w:pStyle w:val="22"/>
      </w:pPr>
      <w:r>
        <w:rPr>
          <w:rStyle w:val="35"/>
        </w:rPr>
        <w:footnoteRef/>
      </w:r>
      <w:r>
        <w:t xml:space="preserve"> </w:t>
      </w:r>
      <w:r>
        <w:rPr>
          <w:rFonts w:hint="eastAsia"/>
        </w:rPr>
        <w:t>国有建设用地使用权网上挂牌出让公告要求配建的比例为5%。</w:t>
      </w:r>
    </w:p>
  </w:footnote>
  <w:footnote w:id="1">
    <w:p w14:paraId="7A677614">
      <w:pPr>
        <w:pStyle w:val="22"/>
      </w:pPr>
      <w:r>
        <w:rPr>
          <w:rStyle w:val="35"/>
        </w:rPr>
        <w:footnoteRef/>
      </w:r>
      <w:r>
        <w:t xml:space="preserve"> </w:t>
      </w:r>
      <w:r>
        <w:rPr>
          <w:rFonts w:hint="eastAsia"/>
        </w:rPr>
        <w:t>指已纳入城中村改造系统项目。</w:t>
      </w:r>
    </w:p>
  </w:footnote>
  <w:footnote w:id="2">
    <w:p w14:paraId="63263DF2">
      <w:pPr>
        <w:pStyle w:val="22"/>
      </w:pPr>
      <w:r>
        <w:rPr>
          <w:rStyle w:val="35"/>
        </w:rPr>
        <w:footnoteRef/>
      </w:r>
      <w:r>
        <w:rPr>
          <w:rFonts w:hint="eastAsia"/>
        </w:rPr>
        <w:t>指有专业化物业服务的住宅小区和通过国企结对帮扶、街道社区领办、社会组织代管、居民自我管理、集中连片统管等方式提供基础物业服务的住宅小区占住宅小区总数的比例。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E42D8">
    <w:pPr>
      <w:pStyle w:val="1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D9BA39"/>
    <w:multiLevelType w:val="multilevel"/>
    <w:tmpl w:val="3FD9BA39"/>
    <w:lvl w:ilvl="0" w:tentative="0">
      <w:start w:val="1"/>
      <w:numFmt w:val="decimal"/>
      <w:pStyle w:val="25"/>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revisionView w:markup="0"/>
  <w:trackRevisions w:val="1"/>
  <w:documentProtection w:enforcement="0"/>
  <w:defaultTabStop w:val="420"/>
  <w:drawingGridHorizontalSpacing w:val="160"/>
  <w:drawingGridVerticalSpacing w:val="435"/>
  <w:noPunctuationKerning w:val="1"/>
  <w:characterSpacingControl w:val="compressPunctuation"/>
  <w:footnotePr>
    <w:numFmt w:val="decimalEnclosedCircleChinese"/>
    <w:footnote w:id="6"/>
    <w:footnote w:id="7"/>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308"/>
    <w:rsid w:val="0000458B"/>
    <w:rsid w:val="0000499B"/>
    <w:rsid w:val="00010ADE"/>
    <w:rsid w:val="0001755A"/>
    <w:rsid w:val="00020211"/>
    <w:rsid w:val="000221D6"/>
    <w:rsid w:val="00022535"/>
    <w:rsid w:val="0002272A"/>
    <w:rsid w:val="00036282"/>
    <w:rsid w:val="0004195A"/>
    <w:rsid w:val="00042500"/>
    <w:rsid w:val="0004291E"/>
    <w:rsid w:val="000478EC"/>
    <w:rsid w:val="00051685"/>
    <w:rsid w:val="00055712"/>
    <w:rsid w:val="00057A94"/>
    <w:rsid w:val="00076357"/>
    <w:rsid w:val="0007716B"/>
    <w:rsid w:val="00082279"/>
    <w:rsid w:val="000966F5"/>
    <w:rsid w:val="000970F8"/>
    <w:rsid w:val="000B7EE1"/>
    <w:rsid w:val="000C2DD4"/>
    <w:rsid w:val="000C35FF"/>
    <w:rsid w:val="000C5DFE"/>
    <w:rsid w:val="000D0455"/>
    <w:rsid w:val="000D1256"/>
    <w:rsid w:val="000D17FF"/>
    <w:rsid w:val="000D4A53"/>
    <w:rsid w:val="000D5E96"/>
    <w:rsid w:val="000E3F9C"/>
    <w:rsid w:val="000F51C3"/>
    <w:rsid w:val="000F6E0B"/>
    <w:rsid w:val="001068D4"/>
    <w:rsid w:val="001073C8"/>
    <w:rsid w:val="0011228E"/>
    <w:rsid w:val="00112B75"/>
    <w:rsid w:val="00113E0D"/>
    <w:rsid w:val="00114157"/>
    <w:rsid w:val="00124B66"/>
    <w:rsid w:val="001314BF"/>
    <w:rsid w:val="00135AFE"/>
    <w:rsid w:val="001407E3"/>
    <w:rsid w:val="00140FA0"/>
    <w:rsid w:val="00144008"/>
    <w:rsid w:val="00144719"/>
    <w:rsid w:val="00166F3E"/>
    <w:rsid w:val="00167F49"/>
    <w:rsid w:val="00170314"/>
    <w:rsid w:val="00171C8B"/>
    <w:rsid w:val="001770B2"/>
    <w:rsid w:val="0017762D"/>
    <w:rsid w:val="0018204C"/>
    <w:rsid w:val="00182EF1"/>
    <w:rsid w:val="001878B8"/>
    <w:rsid w:val="001A373C"/>
    <w:rsid w:val="001A3C8A"/>
    <w:rsid w:val="001B07FE"/>
    <w:rsid w:val="001B24EB"/>
    <w:rsid w:val="001D0A94"/>
    <w:rsid w:val="001D6FD3"/>
    <w:rsid w:val="001E487A"/>
    <w:rsid w:val="001E5A88"/>
    <w:rsid w:val="001E7203"/>
    <w:rsid w:val="001F62F9"/>
    <w:rsid w:val="001F654D"/>
    <w:rsid w:val="001F706C"/>
    <w:rsid w:val="0021484C"/>
    <w:rsid w:val="002205B4"/>
    <w:rsid w:val="00222054"/>
    <w:rsid w:val="002226AD"/>
    <w:rsid w:val="00224956"/>
    <w:rsid w:val="002324F9"/>
    <w:rsid w:val="002326D4"/>
    <w:rsid w:val="00240E61"/>
    <w:rsid w:val="002507E9"/>
    <w:rsid w:val="00251F6E"/>
    <w:rsid w:val="002536C1"/>
    <w:rsid w:val="0025461C"/>
    <w:rsid w:val="00265885"/>
    <w:rsid w:val="00270C1F"/>
    <w:rsid w:val="00273459"/>
    <w:rsid w:val="002811F9"/>
    <w:rsid w:val="00285C98"/>
    <w:rsid w:val="00286844"/>
    <w:rsid w:val="00291825"/>
    <w:rsid w:val="002A0872"/>
    <w:rsid w:val="002A28B4"/>
    <w:rsid w:val="002B15FB"/>
    <w:rsid w:val="002B6582"/>
    <w:rsid w:val="002B666C"/>
    <w:rsid w:val="002B7312"/>
    <w:rsid w:val="002C102A"/>
    <w:rsid w:val="002C441F"/>
    <w:rsid w:val="002C55C6"/>
    <w:rsid w:val="002C5B7D"/>
    <w:rsid w:val="002C7126"/>
    <w:rsid w:val="002D103C"/>
    <w:rsid w:val="002E2D86"/>
    <w:rsid w:val="002F074A"/>
    <w:rsid w:val="002F0FAB"/>
    <w:rsid w:val="002F185A"/>
    <w:rsid w:val="002F3885"/>
    <w:rsid w:val="002F42C2"/>
    <w:rsid w:val="002F5519"/>
    <w:rsid w:val="00301C23"/>
    <w:rsid w:val="00303C94"/>
    <w:rsid w:val="00304CEF"/>
    <w:rsid w:val="00305D22"/>
    <w:rsid w:val="003070F9"/>
    <w:rsid w:val="0031319E"/>
    <w:rsid w:val="00313BB7"/>
    <w:rsid w:val="003140D3"/>
    <w:rsid w:val="00320B6D"/>
    <w:rsid w:val="003216FB"/>
    <w:rsid w:val="00323F4E"/>
    <w:rsid w:val="0033149A"/>
    <w:rsid w:val="00334E54"/>
    <w:rsid w:val="00337F23"/>
    <w:rsid w:val="00343AB3"/>
    <w:rsid w:val="00345540"/>
    <w:rsid w:val="00353CDC"/>
    <w:rsid w:val="00365A5D"/>
    <w:rsid w:val="003735DA"/>
    <w:rsid w:val="00373E70"/>
    <w:rsid w:val="00376158"/>
    <w:rsid w:val="00385441"/>
    <w:rsid w:val="00395536"/>
    <w:rsid w:val="003A0708"/>
    <w:rsid w:val="003A6E7C"/>
    <w:rsid w:val="003B100E"/>
    <w:rsid w:val="003B765E"/>
    <w:rsid w:val="003C695B"/>
    <w:rsid w:val="003C6C10"/>
    <w:rsid w:val="003C6D69"/>
    <w:rsid w:val="003D0379"/>
    <w:rsid w:val="003D3AB6"/>
    <w:rsid w:val="003D5001"/>
    <w:rsid w:val="003D7421"/>
    <w:rsid w:val="003F7856"/>
    <w:rsid w:val="00402412"/>
    <w:rsid w:val="0040423D"/>
    <w:rsid w:val="004143E8"/>
    <w:rsid w:val="00414980"/>
    <w:rsid w:val="00423216"/>
    <w:rsid w:val="00424F1A"/>
    <w:rsid w:val="00426C6E"/>
    <w:rsid w:val="00430AFC"/>
    <w:rsid w:val="004321B4"/>
    <w:rsid w:val="00433A20"/>
    <w:rsid w:val="00441721"/>
    <w:rsid w:val="00442681"/>
    <w:rsid w:val="00457A17"/>
    <w:rsid w:val="00460731"/>
    <w:rsid w:val="00461596"/>
    <w:rsid w:val="00463A67"/>
    <w:rsid w:val="004664CB"/>
    <w:rsid w:val="00470F0E"/>
    <w:rsid w:val="00480B49"/>
    <w:rsid w:val="00481230"/>
    <w:rsid w:val="004873D1"/>
    <w:rsid w:val="0049313D"/>
    <w:rsid w:val="004A195D"/>
    <w:rsid w:val="004A29CC"/>
    <w:rsid w:val="004A3736"/>
    <w:rsid w:val="004A5A6A"/>
    <w:rsid w:val="004A6DE5"/>
    <w:rsid w:val="004B230F"/>
    <w:rsid w:val="004B5857"/>
    <w:rsid w:val="004B58B6"/>
    <w:rsid w:val="004B62C0"/>
    <w:rsid w:val="004B6739"/>
    <w:rsid w:val="004C06B7"/>
    <w:rsid w:val="004C328A"/>
    <w:rsid w:val="004C53FE"/>
    <w:rsid w:val="004D78B5"/>
    <w:rsid w:val="004E2FEF"/>
    <w:rsid w:val="004E5C24"/>
    <w:rsid w:val="004F1189"/>
    <w:rsid w:val="004F1410"/>
    <w:rsid w:val="004F3870"/>
    <w:rsid w:val="004F49D4"/>
    <w:rsid w:val="005004DC"/>
    <w:rsid w:val="00502E87"/>
    <w:rsid w:val="00505B76"/>
    <w:rsid w:val="005147B7"/>
    <w:rsid w:val="00516CFF"/>
    <w:rsid w:val="00525936"/>
    <w:rsid w:val="00535BBB"/>
    <w:rsid w:val="005449AF"/>
    <w:rsid w:val="00547CC6"/>
    <w:rsid w:val="00551057"/>
    <w:rsid w:val="00552F79"/>
    <w:rsid w:val="00553F53"/>
    <w:rsid w:val="005548B2"/>
    <w:rsid w:val="00561882"/>
    <w:rsid w:val="005714B6"/>
    <w:rsid w:val="005719B1"/>
    <w:rsid w:val="005721B0"/>
    <w:rsid w:val="00576079"/>
    <w:rsid w:val="005778FC"/>
    <w:rsid w:val="00587AB2"/>
    <w:rsid w:val="0059073C"/>
    <w:rsid w:val="005A0D93"/>
    <w:rsid w:val="005B202B"/>
    <w:rsid w:val="005B2136"/>
    <w:rsid w:val="005B2FA3"/>
    <w:rsid w:val="005C1702"/>
    <w:rsid w:val="005C6BE9"/>
    <w:rsid w:val="005D050F"/>
    <w:rsid w:val="005D0635"/>
    <w:rsid w:val="005D4DB9"/>
    <w:rsid w:val="005D5AC2"/>
    <w:rsid w:val="005E2D76"/>
    <w:rsid w:val="005E5712"/>
    <w:rsid w:val="005E6A8E"/>
    <w:rsid w:val="005F228B"/>
    <w:rsid w:val="005F358B"/>
    <w:rsid w:val="0060105E"/>
    <w:rsid w:val="006015E0"/>
    <w:rsid w:val="00603256"/>
    <w:rsid w:val="00613E6D"/>
    <w:rsid w:val="006166A4"/>
    <w:rsid w:val="00617C7D"/>
    <w:rsid w:val="00621208"/>
    <w:rsid w:val="00621997"/>
    <w:rsid w:val="00623B23"/>
    <w:rsid w:val="00633BBC"/>
    <w:rsid w:val="006379FB"/>
    <w:rsid w:val="006451BE"/>
    <w:rsid w:val="00654FAB"/>
    <w:rsid w:val="0067048F"/>
    <w:rsid w:val="00673A29"/>
    <w:rsid w:val="00694430"/>
    <w:rsid w:val="00695D58"/>
    <w:rsid w:val="006A2D34"/>
    <w:rsid w:val="006B05A1"/>
    <w:rsid w:val="006B5719"/>
    <w:rsid w:val="006C0B4C"/>
    <w:rsid w:val="006C5112"/>
    <w:rsid w:val="006C69D2"/>
    <w:rsid w:val="006D07E7"/>
    <w:rsid w:val="006D0A70"/>
    <w:rsid w:val="006D0CFE"/>
    <w:rsid w:val="006D307F"/>
    <w:rsid w:val="006D7062"/>
    <w:rsid w:val="006E328E"/>
    <w:rsid w:val="006E49AF"/>
    <w:rsid w:val="006E66A3"/>
    <w:rsid w:val="006F01E6"/>
    <w:rsid w:val="006F3404"/>
    <w:rsid w:val="006F4317"/>
    <w:rsid w:val="006F4F3E"/>
    <w:rsid w:val="006F74F7"/>
    <w:rsid w:val="00711BC9"/>
    <w:rsid w:val="00715D93"/>
    <w:rsid w:val="00715F9A"/>
    <w:rsid w:val="007178C8"/>
    <w:rsid w:val="00722637"/>
    <w:rsid w:val="00722CBD"/>
    <w:rsid w:val="00732331"/>
    <w:rsid w:val="00732C8B"/>
    <w:rsid w:val="00734CD9"/>
    <w:rsid w:val="00744A13"/>
    <w:rsid w:val="00745A7A"/>
    <w:rsid w:val="00750EF9"/>
    <w:rsid w:val="00754BCF"/>
    <w:rsid w:val="00757DDC"/>
    <w:rsid w:val="007615E3"/>
    <w:rsid w:val="00765AA9"/>
    <w:rsid w:val="0077391C"/>
    <w:rsid w:val="00781C8F"/>
    <w:rsid w:val="00781FFC"/>
    <w:rsid w:val="007864D0"/>
    <w:rsid w:val="00791EF3"/>
    <w:rsid w:val="0079340F"/>
    <w:rsid w:val="0079345A"/>
    <w:rsid w:val="00795C7F"/>
    <w:rsid w:val="007A0757"/>
    <w:rsid w:val="007A3082"/>
    <w:rsid w:val="007B71A6"/>
    <w:rsid w:val="007C2E3E"/>
    <w:rsid w:val="007C5054"/>
    <w:rsid w:val="007F1093"/>
    <w:rsid w:val="007F3B6B"/>
    <w:rsid w:val="007F46C8"/>
    <w:rsid w:val="007F548C"/>
    <w:rsid w:val="007F648E"/>
    <w:rsid w:val="00800A0E"/>
    <w:rsid w:val="0080275B"/>
    <w:rsid w:val="008033E2"/>
    <w:rsid w:val="00812543"/>
    <w:rsid w:val="008129C8"/>
    <w:rsid w:val="00813027"/>
    <w:rsid w:val="0082182A"/>
    <w:rsid w:val="0082206A"/>
    <w:rsid w:val="008248A6"/>
    <w:rsid w:val="0082594E"/>
    <w:rsid w:val="00826E60"/>
    <w:rsid w:val="00830A1D"/>
    <w:rsid w:val="00844697"/>
    <w:rsid w:val="00846ACD"/>
    <w:rsid w:val="008513B5"/>
    <w:rsid w:val="008545AF"/>
    <w:rsid w:val="00857838"/>
    <w:rsid w:val="00863344"/>
    <w:rsid w:val="0086583B"/>
    <w:rsid w:val="00871726"/>
    <w:rsid w:val="00877A2D"/>
    <w:rsid w:val="00880EAE"/>
    <w:rsid w:val="00882308"/>
    <w:rsid w:val="00883F15"/>
    <w:rsid w:val="0088540F"/>
    <w:rsid w:val="0089244E"/>
    <w:rsid w:val="0089713E"/>
    <w:rsid w:val="008A5CB6"/>
    <w:rsid w:val="008A7C70"/>
    <w:rsid w:val="008B5F7C"/>
    <w:rsid w:val="008C4B62"/>
    <w:rsid w:val="008C68E9"/>
    <w:rsid w:val="008D443A"/>
    <w:rsid w:val="008D77C2"/>
    <w:rsid w:val="008E1464"/>
    <w:rsid w:val="008F1201"/>
    <w:rsid w:val="008F25E0"/>
    <w:rsid w:val="008F3F69"/>
    <w:rsid w:val="00905936"/>
    <w:rsid w:val="00910D43"/>
    <w:rsid w:val="00911F9C"/>
    <w:rsid w:val="009146A9"/>
    <w:rsid w:val="00915DE3"/>
    <w:rsid w:val="00920E43"/>
    <w:rsid w:val="00921068"/>
    <w:rsid w:val="009225BD"/>
    <w:rsid w:val="00926C5F"/>
    <w:rsid w:val="00933580"/>
    <w:rsid w:val="00933984"/>
    <w:rsid w:val="009348EF"/>
    <w:rsid w:val="00940C14"/>
    <w:rsid w:val="00941BFF"/>
    <w:rsid w:val="0095259D"/>
    <w:rsid w:val="00955D02"/>
    <w:rsid w:val="00960835"/>
    <w:rsid w:val="009628C0"/>
    <w:rsid w:val="0096583B"/>
    <w:rsid w:val="00967F01"/>
    <w:rsid w:val="00971A80"/>
    <w:rsid w:val="00980A28"/>
    <w:rsid w:val="00994175"/>
    <w:rsid w:val="009963A4"/>
    <w:rsid w:val="009A489E"/>
    <w:rsid w:val="009B09BC"/>
    <w:rsid w:val="009C0004"/>
    <w:rsid w:val="009C2BC3"/>
    <w:rsid w:val="009C47AF"/>
    <w:rsid w:val="009D1A18"/>
    <w:rsid w:val="009D499B"/>
    <w:rsid w:val="009D5448"/>
    <w:rsid w:val="009E208B"/>
    <w:rsid w:val="009F019D"/>
    <w:rsid w:val="00A04FF9"/>
    <w:rsid w:val="00A11786"/>
    <w:rsid w:val="00A13608"/>
    <w:rsid w:val="00A16161"/>
    <w:rsid w:val="00A17369"/>
    <w:rsid w:val="00A17E0A"/>
    <w:rsid w:val="00A24F7C"/>
    <w:rsid w:val="00A26734"/>
    <w:rsid w:val="00A30B43"/>
    <w:rsid w:val="00A36D7F"/>
    <w:rsid w:val="00A4007E"/>
    <w:rsid w:val="00A4440D"/>
    <w:rsid w:val="00A47875"/>
    <w:rsid w:val="00A503B1"/>
    <w:rsid w:val="00A535E8"/>
    <w:rsid w:val="00A53FD8"/>
    <w:rsid w:val="00A62B2E"/>
    <w:rsid w:val="00A645C0"/>
    <w:rsid w:val="00A64C58"/>
    <w:rsid w:val="00A708BF"/>
    <w:rsid w:val="00A75BDB"/>
    <w:rsid w:val="00A8160D"/>
    <w:rsid w:val="00A92BFB"/>
    <w:rsid w:val="00AA3EEB"/>
    <w:rsid w:val="00AB0F85"/>
    <w:rsid w:val="00AB1305"/>
    <w:rsid w:val="00AB705D"/>
    <w:rsid w:val="00AC046A"/>
    <w:rsid w:val="00AC3920"/>
    <w:rsid w:val="00AD04FB"/>
    <w:rsid w:val="00AD1464"/>
    <w:rsid w:val="00AD41E2"/>
    <w:rsid w:val="00AD48EE"/>
    <w:rsid w:val="00AE18D5"/>
    <w:rsid w:val="00AE226E"/>
    <w:rsid w:val="00AE282F"/>
    <w:rsid w:val="00AE481A"/>
    <w:rsid w:val="00AF4B1E"/>
    <w:rsid w:val="00B02F34"/>
    <w:rsid w:val="00B12283"/>
    <w:rsid w:val="00B14B36"/>
    <w:rsid w:val="00B21378"/>
    <w:rsid w:val="00B32334"/>
    <w:rsid w:val="00B35EE9"/>
    <w:rsid w:val="00B464F2"/>
    <w:rsid w:val="00B46A3E"/>
    <w:rsid w:val="00B610F6"/>
    <w:rsid w:val="00B66E36"/>
    <w:rsid w:val="00B67C2F"/>
    <w:rsid w:val="00B811D3"/>
    <w:rsid w:val="00B86938"/>
    <w:rsid w:val="00B92E39"/>
    <w:rsid w:val="00B951E5"/>
    <w:rsid w:val="00BB2F31"/>
    <w:rsid w:val="00BB3452"/>
    <w:rsid w:val="00BC65C2"/>
    <w:rsid w:val="00BC7F85"/>
    <w:rsid w:val="00BD0BBD"/>
    <w:rsid w:val="00BD24B5"/>
    <w:rsid w:val="00BE19F9"/>
    <w:rsid w:val="00BE1D8A"/>
    <w:rsid w:val="00BE3DD8"/>
    <w:rsid w:val="00BF21CE"/>
    <w:rsid w:val="00BF45B1"/>
    <w:rsid w:val="00BF7FC2"/>
    <w:rsid w:val="00C036C9"/>
    <w:rsid w:val="00C046A5"/>
    <w:rsid w:val="00C055E5"/>
    <w:rsid w:val="00C11428"/>
    <w:rsid w:val="00C1346A"/>
    <w:rsid w:val="00C1589C"/>
    <w:rsid w:val="00C15ACB"/>
    <w:rsid w:val="00C20404"/>
    <w:rsid w:val="00C21CBC"/>
    <w:rsid w:val="00C24DB8"/>
    <w:rsid w:val="00C452EE"/>
    <w:rsid w:val="00C45A80"/>
    <w:rsid w:val="00C5743A"/>
    <w:rsid w:val="00C5752E"/>
    <w:rsid w:val="00C60E03"/>
    <w:rsid w:val="00C60E2D"/>
    <w:rsid w:val="00C61421"/>
    <w:rsid w:val="00C62927"/>
    <w:rsid w:val="00C6390E"/>
    <w:rsid w:val="00C65C80"/>
    <w:rsid w:val="00C71573"/>
    <w:rsid w:val="00C72B2A"/>
    <w:rsid w:val="00C77220"/>
    <w:rsid w:val="00C773A5"/>
    <w:rsid w:val="00C80C61"/>
    <w:rsid w:val="00C80E6A"/>
    <w:rsid w:val="00C902F1"/>
    <w:rsid w:val="00C94C89"/>
    <w:rsid w:val="00C9628B"/>
    <w:rsid w:val="00C9753C"/>
    <w:rsid w:val="00C977F3"/>
    <w:rsid w:val="00CA4DBC"/>
    <w:rsid w:val="00CA5B70"/>
    <w:rsid w:val="00CA6E20"/>
    <w:rsid w:val="00CB0B66"/>
    <w:rsid w:val="00CB1097"/>
    <w:rsid w:val="00CB286F"/>
    <w:rsid w:val="00CB2DBB"/>
    <w:rsid w:val="00CB6A91"/>
    <w:rsid w:val="00CC0349"/>
    <w:rsid w:val="00CC4517"/>
    <w:rsid w:val="00CC5E34"/>
    <w:rsid w:val="00CD4AF4"/>
    <w:rsid w:val="00CD7135"/>
    <w:rsid w:val="00CE5393"/>
    <w:rsid w:val="00CF09D9"/>
    <w:rsid w:val="00D02136"/>
    <w:rsid w:val="00D02E79"/>
    <w:rsid w:val="00D10DF4"/>
    <w:rsid w:val="00D1540E"/>
    <w:rsid w:val="00D16804"/>
    <w:rsid w:val="00D16F23"/>
    <w:rsid w:val="00D21FB8"/>
    <w:rsid w:val="00D3373E"/>
    <w:rsid w:val="00D377D3"/>
    <w:rsid w:val="00D40B84"/>
    <w:rsid w:val="00D43D43"/>
    <w:rsid w:val="00D4467F"/>
    <w:rsid w:val="00D46B13"/>
    <w:rsid w:val="00D51B5E"/>
    <w:rsid w:val="00D52C31"/>
    <w:rsid w:val="00D6481C"/>
    <w:rsid w:val="00D66D63"/>
    <w:rsid w:val="00D73F5B"/>
    <w:rsid w:val="00D8212C"/>
    <w:rsid w:val="00D848FC"/>
    <w:rsid w:val="00D91333"/>
    <w:rsid w:val="00D9200A"/>
    <w:rsid w:val="00DA0950"/>
    <w:rsid w:val="00DA19C9"/>
    <w:rsid w:val="00DA3148"/>
    <w:rsid w:val="00DB049C"/>
    <w:rsid w:val="00DB0674"/>
    <w:rsid w:val="00DB0AB5"/>
    <w:rsid w:val="00DB2168"/>
    <w:rsid w:val="00DB40E2"/>
    <w:rsid w:val="00DC2CA4"/>
    <w:rsid w:val="00DC63E3"/>
    <w:rsid w:val="00DD150C"/>
    <w:rsid w:val="00DD7CAB"/>
    <w:rsid w:val="00DE3A8B"/>
    <w:rsid w:val="00DF1865"/>
    <w:rsid w:val="00DF5955"/>
    <w:rsid w:val="00E00D19"/>
    <w:rsid w:val="00E04D44"/>
    <w:rsid w:val="00E06006"/>
    <w:rsid w:val="00E1189E"/>
    <w:rsid w:val="00E120A8"/>
    <w:rsid w:val="00E13CAE"/>
    <w:rsid w:val="00E14E22"/>
    <w:rsid w:val="00E2255B"/>
    <w:rsid w:val="00E2357C"/>
    <w:rsid w:val="00E24E2C"/>
    <w:rsid w:val="00E265E7"/>
    <w:rsid w:val="00E31826"/>
    <w:rsid w:val="00E42C09"/>
    <w:rsid w:val="00E444F3"/>
    <w:rsid w:val="00E45CC9"/>
    <w:rsid w:val="00E47207"/>
    <w:rsid w:val="00E50A85"/>
    <w:rsid w:val="00E61899"/>
    <w:rsid w:val="00E61DE1"/>
    <w:rsid w:val="00E62A1A"/>
    <w:rsid w:val="00E64082"/>
    <w:rsid w:val="00E65A7B"/>
    <w:rsid w:val="00E70942"/>
    <w:rsid w:val="00E70C2C"/>
    <w:rsid w:val="00E72EA8"/>
    <w:rsid w:val="00E76421"/>
    <w:rsid w:val="00E80783"/>
    <w:rsid w:val="00E81FB7"/>
    <w:rsid w:val="00E82D90"/>
    <w:rsid w:val="00E83489"/>
    <w:rsid w:val="00E90933"/>
    <w:rsid w:val="00E913F8"/>
    <w:rsid w:val="00E92E3E"/>
    <w:rsid w:val="00E94784"/>
    <w:rsid w:val="00E971C1"/>
    <w:rsid w:val="00EA2075"/>
    <w:rsid w:val="00EB0BE3"/>
    <w:rsid w:val="00EB580D"/>
    <w:rsid w:val="00EC0F03"/>
    <w:rsid w:val="00EC4D48"/>
    <w:rsid w:val="00EC50FF"/>
    <w:rsid w:val="00ED14E1"/>
    <w:rsid w:val="00ED1B09"/>
    <w:rsid w:val="00ED219A"/>
    <w:rsid w:val="00ED3D14"/>
    <w:rsid w:val="00ED55AE"/>
    <w:rsid w:val="00EE04E2"/>
    <w:rsid w:val="00EE1EFC"/>
    <w:rsid w:val="00EE4773"/>
    <w:rsid w:val="00EE7D15"/>
    <w:rsid w:val="00EF0CE8"/>
    <w:rsid w:val="00EF7FE1"/>
    <w:rsid w:val="00F019C2"/>
    <w:rsid w:val="00F047EF"/>
    <w:rsid w:val="00F12355"/>
    <w:rsid w:val="00F12359"/>
    <w:rsid w:val="00F145D2"/>
    <w:rsid w:val="00F17A64"/>
    <w:rsid w:val="00F30662"/>
    <w:rsid w:val="00F307F8"/>
    <w:rsid w:val="00F31A82"/>
    <w:rsid w:val="00F358FE"/>
    <w:rsid w:val="00F35B06"/>
    <w:rsid w:val="00F41F68"/>
    <w:rsid w:val="00F451E5"/>
    <w:rsid w:val="00F5285F"/>
    <w:rsid w:val="00F547E1"/>
    <w:rsid w:val="00F5543D"/>
    <w:rsid w:val="00F61497"/>
    <w:rsid w:val="00F62F0F"/>
    <w:rsid w:val="00F651D5"/>
    <w:rsid w:val="00F65DF4"/>
    <w:rsid w:val="00F675A7"/>
    <w:rsid w:val="00F72D27"/>
    <w:rsid w:val="00F816BF"/>
    <w:rsid w:val="00F81FF1"/>
    <w:rsid w:val="00F86C26"/>
    <w:rsid w:val="00F879F1"/>
    <w:rsid w:val="00F955E5"/>
    <w:rsid w:val="00F97619"/>
    <w:rsid w:val="00FA15BA"/>
    <w:rsid w:val="00FB11FB"/>
    <w:rsid w:val="00FB1E26"/>
    <w:rsid w:val="00FB531A"/>
    <w:rsid w:val="00FB68B9"/>
    <w:rsid w:val="00FB6958"/>
    <w:rsid w:val="00FC3C58"/>
    <w:rsid w:val="00FC533A"/>
    <w:rsid w:val="00FC7588"/>
    <w:rsid w:val="00FC7D77"/>
    <w:rsid w:val="00FD046A"/>
    <w:rsid w:val="00FD0F6B"/>
    <w:rsid w:val="00FD6167"/>
    <w:rsid w:val="00FE3100"/>
    <w:rsid w:val="00FE4A13"/>
    <w:rsid w:val="00FE5677"/>
    <w:rsid w:val="00FE7E67"/>
    <w:rsid w:val="00FF0275"/>
    <w:rsid w:val="00FF6839"/>
    <w:rsid w:val="0179546C"/>
    <w:rsid w:val="01EB4B46"/>
    <w:rsid w:val="03323B24"/>
    <w:rsid w:val="03B10FB8"/>
    <w:rsid w:val="059A3C03"/>
    <w:rsid w:val="07096748"/>
    <w:rsid w:val="07D323DF"/>
    <w:rsid w:val="097534CB"/>
    <w:rsid w:val="098E58FB"/>
    <w:rsid w:val="0B671121"/>
    <w:rsid w:val="0BBD611B"/>
    <w:rsid w:val="0D200CAA"/>
    <w:rsid w:val="0ECB64B2"/>
    <w:rsid w:val="0FD747DD"/>
    <w:rsid w:val="1185397F"/>
    <w:rsid w:val="11EE590D"/>
    <w:rsid w:val="15CA2206"/>
    <w:rsid w:val="15FD4323"/>
    <w:rsid w:val="175760A6"/>
    <w:rsid w:val="17779582"/>
    <w:rsid w:val="18002BC9"/>
    <w:rsid w:val="195D1F7E"/>
    <w:rsid w:val="1A4A170E"/>
    <w:rsid w:val="1A9772A4"/>
    <w:rsid w:val="1AFDC958"/>
    <w:rsid w:val="1CC14C15"/>
    <w:rsid w:val="1CD87093"/>
    <w:rsid w:val="1FEA45CC"/>
    <w:rsid w:val="1FF3E704"/>
    <w:rsid w:val="20E02C6D"/>
    <w:rsid w:val="220F7E3D"/>
    <w:rsid w:val="22DB0766"/>
    <w:rsid w:val="2391373F"/>
    <w:rsid w:val="243CAABC"/>
    <w:rsid w:val="25972A29"/>
    <w:rsid w:val="29344ED1"/>
    <w:rsid w:val="2A5469A5"/>
    <w:rsid w:val="2B524E2B"/>
    <w:rsid w:val="2C7C350C"/>
    <w:rsid w:val="2CA13945"/>
    <w:rsid w:val="2F5505BF"/>
    <w:rsid w:val="333DFC50"/>
    <w:rsid w:val="339DCF41"/>
    <w:rsid w:val="33FFBD1E"/>
    <w:rsid w:val="356815AA"/>
    <w:rsid w:val="35F563DF"/>
    <w:rsid w:val="37FA9EFD"/>
    <w:rsid w:val="38E7CA35"/>
    <w:rsid w:val="398656A7"/>
    <w:rsid w:val="39C42147"/>
    <w:rsid w:val="3E111FAD"/>
    <w:rsid w:val="3F5D5642"/>
    <w:rsid w:val="3F895BF0"/>
    <w:rsid w:val="3FBB4318"/>
    <w:rsid w:val="3FEF794C"/>
    <w:rsid w:val="3FFE534F"/>
    <w:rsid w:val="40B141E5"/>
    <w:rsid w:val="41D52C6D"/>
    <w:rsid w:val="41ED7A25"/>
    <w:rsid w:val="460620D1"/>
    <w:rsid w:val="46A57230"/>
    <w:rsid w:val="47A705F4"/>
    <w:rsid w:val="47E25F71"/>
    <w:rsid w:val="47EF3038"/>
    <w:rsid w:val="48011933"/>
    <w:rsid w:val="4BFB452B"/>
    <w:rsid w:val="4C417F01"/>
    <w:rsid w:val="4C7A2888"/>
    <w:rsid w:val="4DB7027D"/>
    <w:rsid w:val="4E504457"/>
    <w:rsid w:val="4EF254D2"/>
    <w:rsid w:val="4FBFF7B7"/>
    <w:rsid w:val="523766B7"/>
    <w:rsid w:val="526F4094"/>
    <w:rsid w:val="54734AAC"/>
    <w:rsid w:val="55326F81"/>
    <w:rsid w:val="579B8DB6"/>
    <w:rsid w:val="57D6A071"/>
    <w:rsid w:val="59ED98B1"/>
    <w:rsid w:val="59FF5E1C"/>
    <w:rsid w:val="5B7042CC"/>
    <w:rsid w:val="5D5D48BF"/>
    <w:rsid w:val="5EEFCA46"/>
    <w:rsid w:val="5F3A470B"/>
    <w:rsid w:val="5F7560E0"/>
    <w:rsid w:val="5F7E8B09"/>
    <w:rsid w:val="5F7F7455"/>
    <w:rsid w:val="5FD3A234"/>
    <w:rsid w:val="5FDE439A"/>
    <w:rsid w:val="5FF22A21"/>
    <w:rsid w:val="5FF7DF4A"/>
    <w:rsid w:val="5FFFCB56"/>
    <w:rsid w:val="61437E73"/>
    <w:rsid w:val="61836C08"/>
    <w:rsid w:val="61F33DA9"/>
    <w:rsid w:val="629E0E49"/>
    <w:rsid w:val="636316FB"/>
    <w:rsid w:val="65910BB8"/>
    <w:rsid w:val="67CF5188"/>
    <w:rsid w:val="67D234E5"/>
    <w:rsid w:val="67FC491C"/>
    <w:rsid w:val="6B3F1C62"/>
    <w:rsid w:val="6BD6D8D2"/>
    <w:rsid w:val="6CFBE5B9"/>
    <w:rsid w:val="6DDCF67D"/>
    <w:rsid w:val="6EF5348B"/>
    <w:rsid w:val="6F6A9D25"/>
    <w:rsid w:val="6F7FFAB8"/>
    <w:rsid w:val="6F861A2E"/>
    <w:rsid w:val="6FE79684"/>
    <w:rsid w:val="6FF79CE0"/>
    <w:rsid w:val="6FFFC5A3"/>
    <w:rsid w:val="6FFFDE52"/>
    <w:rsid w:val="704D1A20"/>
    <w:rsid w:val="71D52A56"/>
    <w:rsid w:val="71DF3A5F"/>
    <w:rsid w:val="734DC4FF"/>
    <w:rsid w:val="75F22015"/>
    <w:rsid w:val="76FD3C0A"/>
    <w:rsid w:val="777F2C56"/>
    <w:rsid w:val="777FA2F7"/>
    <w:rsid w:val="77BC71B5"/>
    <w:rsid w:val="77DBAE1F"/>
    <w:rsid w:val="77EF0022"/>
    <w:rsid w:val="77FA6DBA"/>
    <w:rsid w:val="794FB695"/>
    <w:rsid w:val="79BF2CCF"/>
    <w:rsid w:val="79FB2E62"/>
    <w:rsid w:val="7B5E7C88"/>
    <w:rsid w:val="7BFF297E"/>
    <w:rsid w:val="7C5F050D"/>
    <w:rsid w:val="7CFBD62D"/>
    <w:rsid w:val="7DBAEAF1"/>
    <w:rsid w:val="7DBE1273"/>
    <w:rsid w:val="7DDBC3BA"/>
    <w:rsid w:val="7DDF5507"/>
    <w:rsid w:val="7DDFF445"/>
    <w:rsid w:val="7DF3E2CA"/>
    <w:rsid w:val="7DF92BAD"/>
    <w:rsid w:val="7E3D9F81"/>
    <w:rsid w:val="7E4E01E4"/>
    <w:rsid w:val="7EAF8A88"/>
    <w:rsid w:val="7EEA760B"/>
    <w:rsid w:val="7F1FD2F2"/>
    <w:rsid w:val="7F206965"/>
    <w:rsid w:val="7F9F7645"/>
    <w:rsid w:val="7FB11D17"/>
    <w:rsid w:val="7FB58C17"/>
    <w:rsid w:val="7FC3D9B3"/>
    <w:rsid w:val="7FD1C77F"/>
    <w:rsid w:val="7FEF98FC"/>
    <w:rsid w:val="7FF82C67"/>
    <w:rsid w:val="7FF8C459"/>
    <w:rsid w:val="7FFE380A"/>
    <w:rsid w:val="7FFE5AA0"/>
    <w:rsid w:val="7FFF54BC"/>
    <w:rsid w:val="7FFF786C"/>
    <w:rsid w:val="8FBB4268"/>
    <w:rsid w:val="96F50907"/>
    <w:rsid w:val="9D4B5CFF"/>
    <w:rsid w:val="9DFB51C4"/>
    <w:rsid w:val="A0A94F4C"/>
    <w:rsid w:val="A62F0F90"/>
    <w:rsid w:val="A9FFF927"/>
    <w:rsid w:val="AD991565"/>
    <w:rsid w:val="AEBD0E31"/>
    <w:rsid w:val="AEBDC21D"/>
    <w:rsid w:val="AF7B183A"/>
    <w:rsid w:val="AF8E5164"/>
    <w:rsid w:val="AFDE58DE"/>
    <w:rsid w:val="B2FB3DA8"/>
    <w:rsid w:val="B5FF8B21"/>
    <w:rsid w:val="B9EFDA45"/>
    <w:rsid w:val="BBBFF1D7"/>
    <w:rsid w:val="BDBB13D9"/>
    <w:rsid w:val="BDF7333C"/>
    <w:rsid w:val="BDFD7C0F"/>
    <w:rsid w:val="BEFF91D7"/>
    <w:rsid w:val="BF7B9C54"/>
    <w:rsid w:val="C5FE2985"/>
    <w:rsid w:val="C7DEE3DF"/>
    <w:rsid w:val="CED96986"/>
    <w:rsid w:val="CEFFDC41"/>
    <w:rsid w:val="CFE1ABF5"/>
    <w:rsid w:val="CFF721FB"/>
    <w:rsid w:val="D5FDA75C"/>
    <w:rsid w:val="DAEAA008"/>
    <w:rsid w:val="DBF73913"/>
    <w:rsid w:val="DCBF9455"/>
    <w:rsid w:val="DCEF5A7C"/>
    <w:rsid w:val="DD5AB4FC"/>
    <w:rsid w:val="DD6D592A"/>
    <w:rsid w:val="DD6F8F7B"/>
    <w:rsid w:val="DE7F1905"/>
    <w:rsid w:val="DE7F4D5A"/>
    <w:rsid w:val="DEDF48B4"/>
    <w:rsid w:val="DEF60617"/>
    <w:rsid w:val="DEF617E9"/>
    <w:rsid w:val="DF65FB35"/>
    <w:rsid w:val="DFEB4334"/>
    <w:rsid w:val="DFED371D"/>
    <w:rsid w:val="DFFF4105"/>
    <w:rsid w:val="E1FCC826"/>
    <w:rsid w:val="E56BD712"/>
    <w:rsid w:val="E7BBA86E"/>
    <w:rsid w:val="E7BD703B"/>
    <w:rsid w:val="E7FF523D"/>
    <w:rsid w:val="EAFEC321"/>
    <w:rsid w:val="EB7C35D1"/>
    <w:rsid w:val="EDA3910A"/>
    <w:rsid w:val="EDE38550"/>
    <w:rsid w:val="EED539DD"/>
    <w:rsid w:val="EF7E629D"/>
    <w:rsid w:val="EF7FE920"/>
    <w:rsid w:val="EFD72738"/>
    <w:rsid w:val="EFDFF5D0"/>
    <w:rsid w:val="EFFEF4F7"/>
    <w:rsid w:val="EFFF75C1"/>
    <w:rsid w:val="F0B77E05"/>
    <w:rsid w:val="F37E2FBE"/>
    <w:rsid w:val="F3FEBA21"/>
    <w:rsid w:val="F56E28AE"/>
    <w:rsid w:val="F5AA46CD"/>
    <w:rsid w:val="F5CF4B3D"/>
    <w:rsid w:val="F6BEE26C"/>
    <w:rsid w:val="F76FCF69"/>
    <w:rsid w:val="F7C74094"/>
    <w:rsid w:val="F7FA7C84"/>
    <w:rsid w:val="F87D31EF"/>
    <w:rsid w:val="F98AEDED"/>
    <w:rsid w:val="FB1D06E9"/>
    <w:rsid w:val="FBFE505A"/>
    <w:rsid w:val="FCBE4C43"/>
    <w:rsid w:val="FCFB7D9F"/>
    <w:rsid w:val="FD7A7F16"/>
    <w:rsid w:val="FD7F1BAB"/>
    <w:rsid w:val="FDAAED77"/>
    <w:rsid w:val="FDAB308F"/>
    <w:rsid w:val="FDDF46A7"/>
    <w:rsid w:val="FDDF7948"/>
    <w:rsid w:val="FDEF44F3"/>
    <w:rsid w:val="FDF46B19"/>
    <w:rsid w:val="FEC39159"/>
    <w:rsid w:val="FEDE4003"/>
    <w:rsid w:val="FEEB5180"/>
    <w:rsid w:val="FEF525F1"/>
    <w:rsid w:val="FEFF1CC9"/>
    <w:rsid w:val="FF2BF898"/>
    <w:rsid w:val="FF3E16C5"/>
    <w:rsid w:val="FF75EDD7"/>
    <w:rsid w:val="FF9C4807"/>
    <w:rsid w:val="FFBD8B6D"/>
    <w:rsid w:val="FFDFF5FB"/>
    <w:rsid w:val="FFEF5BAA"/>
    <w:rsid w:val="FFEFB580"/>
    <w:rsid w:val="FFFD678C"/>
    <w:rsid w:val="FFFDFCAB"/>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600" w:lineRule="exact"/>
      <w:jc w:val="both"/>
    </w:pPr>
    <w:rPr>
      <w:rFonts w:ascii="Times New Roman" w:hAnsi="Times New Roman" w:eastAsia="仿宋_GB2312" w:cs="Times New Roman"/>
      <w:kern w:val="2"/>
      <w:sz w:val="32"/>
      <w:szCs w:val="36"/>
      <w:lang w:val="en-US" w:eastAsia="zh-CN" w:bidi="ar-SA"/>
    </w:rPr>
  </w:style>
  <w:style w:type="paragraph" w:styleId="2">
    <w:name w:val="heading 1"/>
    <w:basedOn w:val="1"/>
    <w:next w:val="1"/>
    <w:link w:val="37"/>
    <w:qFormat/>
    <w:uiPriority w:val="0"/>
    <w:pPr>
      <w:ind w:firstLine="640" w:firstLineChars="200"/>
      <w:outlineLvl w:val="0"/>
    </w:pPr>
    <w:rPr>
      <w:rFonts w:ascii="黑体" w:hAnsi="黑体" w:eastAsia="黑体"/>
    </w:rPr>
  </w:style>
  <w:style w:type="paragraph" w:styleId="3">
    <w:name w:val="heading 2"/>
    <w:basedOn w:val="1"/>
    <w:next w:val="1"/>
    <w:link w:val="36"/>
    <w:qFormat/>
    <w:uiPriority w:val="0"/>
    <w:pPr>
      <w:ind w:firstLine="883" w:firstLineChars="200"/>
      <w:outlineLvl w:val="1"/>
    </w:pPr>
    <w:rPr>
      <w:rFonts w:ascii="楷体_GB2312" w:hAnsi="楷体_GB2312" w:eastAsia="楷体_GB2312"/>
      <w:bCs/>
    </w:rPr>
  </w:style>
  <w:style w:type="paragraph" w:styleId="4">
    <w:name w:val="heading 3"/>
    <w:basedOn w:val="5"/>
    <w:next w:val="1"/>
    <w:link w:val="43"/>
    <w:qFormat/>
    <w:uiPriority w:val="0"/>
    <w:pPr>
      <w:ind w:firstLine="883" w:firstLineChars="200"/>
      <w:outlineLvl w:val="2"/>
    </w:pPr>
    <w:rPr>
      <w:rFonts w:ascii="楷体_GB2312" w:hAnsi="楷体_GB2312" w:cs="楷体_GB2312"/>
      <w:b/>
      <w:szCs w:val="32"/>
      <w:lang w:val="zh-CN" w:bidi="zh-CN"/>
    </w:rPr>
  </w:style>
  <w:style w:type="paragraph" w:styleId="6">
    <w:name w:val="heading 4"/>
    <w:basedOn w:val="4"/>
    <w:next w:val="1"/>
    <w:qFormat/>
    <w:uiPriority w:val="0"/>
    <w:pPr>
      <w:outlineLvl w:val="3"/>
    </w:pPr>
    <w:rPr>
      <w:b w:val="0"/>
    </w:rPr>
  </w:style>
  <w:style w:type="paragraph" w:styleId="7">
    <w:name w:val="heading 5"/>
    <w:basedOn w:val="1"/>
    <w:next w:val="1"/>
    <w:qFormat/>
    <w:uiPriority w:val="0"/>
    <w:pPr>
      <w:keepNext/>
      <w:keepLines/>
      <w:ind w:firstLine="880" w:firstLineChars="200"/>
      <w:outlineLvl w:val="4"/>
    </w:pPr>
    <w:rPr>
      <w:b/>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5">
    <w:name w:val="列表段落1"/>
    <w:basedOn w:val="1"/>
    <w:qFormat/>
    <w:uiPriority w:val="99"/>
    <w:pPr>
      <w:ind w:firstLine="420"/>
    </w:pPr>
  </w:style>
  <w:style w:type="paragraph" w:styleId="8">
    <w:name w:val="Normal Indent"/>
    <w:basedOn w:val="1"/>
    <w:next w:val="1"/>
    <w:qFormat/>
    <w:uiPriority w:val="0"/>
    <w:pPr>
      <w:tabs>
        <w:tab w:val="left" w:pos="1259"/>
      </w:tabs>
      <w:snapToGrid w:val="0"/>
      <w:ind w:firstLine="629"/>
    </w:pPr>
    <w:rPr>
      <w:rFonts w:ascii="仿宋_GB2312" w:hAnsi="仿宋_GB2312"/>
      <w:szCs w:val="30"/>
    </w:rPr>
  </w:style>
  <w:style w:type="paragraph" w:styleId="9">
    <w:name w:val="caption"/>
    <w:basedOn w:val="1"/>
    <w:next w:val="1"/>
    <w:qFormat/>
    <w:uiPriority w:val="0"/>
    <w:rPr>
      <w:rFonts w:ascii="Calibri Light" w:hAnsi="Calibri Light" w:eastAsia="黑体" w:cs="宋体"/>
      <w:sz w:val="20"/>
      <w:szCs w:val="20"/>
    </w:rPr>
  </w:style>
  <w:style w:type="paragraph" w:styleId="10">
    <w:name w:val="Document Map"/>
    <w:basedOn w:val="1"/>
    <w:link w:val="81"/>
    <w:qFormat/>
    <w:uiPriority w:val="0"/>
    <w:rPr>
      <w:rFonts w:ascii="宋体" w:eastAsia="宋体"/>
      <w:sz w:val="18"/>
      <w:szCs w:val="18"/>
    </w:rPr>
  </w:style>
  <w:style w:type="paragraph" w:styleId="11">
    <w:name w:val="toa heading"/>
    <w:basedOn w:val="1"/>
    <w:next w:val="1"/>
    <w:qFormat/>
    <w:uiPriority w:val="0"/>
    <w:pPr>
      <w:autoSpaceDE w:val="0"/>
      <w:autoSpaceDN w:val="0"/>
      <w:adjustRightInd w:val="0"/>
      <w:snapToGrid w:val="0"/>
      <w:spacing w:before="120" w:line="360" w:lineRule="auto"/>
    </w:pPr>
    <w:rPr>
      <w:rFonts w:ascii="Arial" w:hAnsi="Arial"/>
      <w:snapToGrid w:val="0"/>
      <w:color w:val="000000"/>
      <w:kern w:val="0"/>
      <w:szCs w:val="20"/>
    </w:rPr>
  </w:style>
  <w:style w:type="paragraph" w:styleId="12">
    <w:name w:val="annotation text"/>
    <w:basedOn w:val="1"/>
    <w:link w:val="58"/>
    <w:qFormat/>
    <w:uiPriority w:val="0"/>
    <w:pPr>
      <w:jc w:val="left"/>
    </w:pPr>
  </w:style>
  <w:style w:type="paragraph" w:styleId="13">
    <w:name w:val="Body Text"/>
    <w:basedOn w:val="1"/>
    <w:next w:val="14"/>
    <w:qFormat/>
    <w:uiPriority w:val="99"/>
  </w:style>
  <w:style w:type="paragraph" w:styleId="14">
    <w:name w:val="toc 5"/>
    <w:basedOn w:val="1"/>
    <w:next w:val="1"/>
    <w:qFormat/>
    <w:uiPriority w:val="0"/>
    <w:pPr>
      <w:suppressAutoHyphens/>
      <w:ind w:left="1680" w:leftChars="800"/>
    </w:pPr>
    <w:rPr>
      <w:rFonts w:eastAsia="宋体"/>
      <w:sz w:val="21"/>
    </w:rPr>
  </w:style>
  <w:style w:type="paragraph" w:styleId="15">
    <w:name w:val="Body Text Indent"/>
    <w:basedOn w:val="1"/>
    <w:qFormat/>
    <w:uiPriority w:val="99"/>
    <w:pPr>
      <w:spacing w:after="120"/>
      <w:ind w:left="420" w:leftChars="200"/>
    </w:p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82"/>
    <w:qFormat/>
    <w:uiPriority w:val="0"/>
    <w:pPr>
      <w:spacing w:after="0" w:line="240" w:lineRule="auto"/>
    </w:pPr>
    <w:rPr>
      <w:sz w:val="18"/>
      <w:szCs w:val="18"/>
    </w:rPr>
  </w:style>
  <w:style w:type="paragraph" w:styleId="18">
    <w:name w:val="footer"/>
    <w:basedOn w:val="1"/>
    <w:link w:val="60"/>
    <w:qFormat/>
    <w:uiPriority w:val="99"/>
    <w:pPr>
      <w:tabs>
        <w:tab w:val="center" w:pos="4153"/>
        <w:tab w:val="right" w:pos="8306"/>
      </w:tabs>
      <w:snapToGrid w:val="0"/>
      <w:jc w:val="left"/>
    </w:pPr>
    <w:rPr>
      <w:sz w:val="18"/>
    </w:rPr>
  </w:style>
  <w:style w:type="paragraph" w:styleId="19">
    <w:name w:val="header"/>
    <w:basedOn w:val="1"/>
    <w:link w:val="6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0">
    <w:name w:val="toc 1"/>
    <w:basedOn w:val="1"/>
    <w:next w:val="1"/>
    <w:qFormat/>
    <w:uiPriority w:val="39"/>
    <w:rPr>
      <w:rFonts w:eastAsia="黑体"/>
    </w:rPr>
  </w:style>
  <w:style w:type="paragraph" w:styleId="21">
    <w:name w:val="toc 4"/>
    <w:basedOn w:val="1"/>
    <w:next w:val="1"/>
    <w:qFormat/>
    <w:uiPriority w:val="0"/>
    <w:pPr>
      <w:wordWrap w:val="0"/>
      <w:ind w:left="850"/>
    </w:pPr>
    <w:rPr>
      <w:rFonts w:ascii="Calibri" w:hAnsi="Calibri" w:eastAsia="宋体" w:cs="黑体"/>
      <w:sz w:val="21"/>
      <w:szCs w:val="22"/>
    </w:rPr>
  </w:style>
  <w:style w:type="paragraph" w:styleId="22">
    <w:name w:val="footnote text"/>
    <w:basedOn w:val="1"/>
    <w:link w:val="59"/>
    <w:qFormat/>
    <w:uiPriority w:val="0"/>
    <w:pPr>
      <w:snapToGrid w:val="0"/>
      <w:spacing w:line="240" w:lineRule="auto"/>
      <w:jc w:val="left"/>
    </w:pPr>
    <w:rPr>
      <w:sz w:val="18"/>
      <w:szCs w:val="18"/>
    </w:rPr>
  </w:style>
  <w:style w:type="paragraph" w:styleId="23">
    <w:name w:val="toc 2"/>
    <w:basedOn w:val="1"/>
    <w:next w:val="1"/>
    <w:qFormat/>
    <w:uiPriority w:val="39"/>
    <w:pPr>
      <w:ind w:left="420" w:leftChars="200"/>
    </w:pPr>
  </w:style>
  <w:style w:type="paragraph" w:styleId="24">
    <w:name w:val="Normal (Web)"/>
    <w:basedOn w:val="1"/>
    <w:qFormat/>
    <w:uiPriority w:val="0"/>
    <w:pPr>
      <w:spacing w:beforeAutospacing="1" w:afterAutospacing="1"/>
      <w:jc w:val="left"/>
    </w:pPr>
    <w:rPr>
      <w:kern w:val="0"/>
      <w:sz w:val="24"/>
    </w:rPr>
  </w:style>
  <w:style w:type="paragraph" w:styleId="25">
    <w:name w:val="Title"/>
    <w:basedOn w:val="1"/>
    <w:next w:val="1"/>
    <w:qFormat/>
    <w:uiPriority w:val="0"/>
    <w:pPr>
      <w:numPr>
        <w:ilvl w:val="0"/>
        <w:numId w:val="1"/>
      </w:numPr>
      <w:ind w:left="0" w:firstLine="0"/>
      <w:outlineLvl w:val="1"/>
    </w:pPr>
    <w:rPr>
      <w:rFonts w:cs="宋体"/>
      <w:szCs w:val="32"/>
    </w:rPr>
  </w:style>
  <w:style w:type="paragraph" w:styleId="26">
    <w:name w:val="annotation subject"/>
    <w:basedOn w:val="12"/>
    <w:next w:val="12"/>
    <w:link w:val="62"/>
    <w:qFormat/>
    <w:uiPriority w:val="0"/>
    <w:rPr>
      <w:b/>
      <w:bCs/>
    </w:rPr>
  </w:style>
  <w:style w:type="paragraph" w:styleId="27">
    <w:name w:val="Body Text First Indent"/>
    <w:basedOn w:val="13"/>
    <w:qFormat/>
    <w:uiPriority w:val="0"/>
    <w:pPr>
      <w:ind w:firstLine="420" w:firstLineChars="100"/>
    </w:pPr>
    <w:rPr>
      <w:sz w:val="30"/>
    </w:rPr>
  </w:style>
  <w:style w:type="paragraph" w:styleId="28">
    <w:name w:val="Body Text First Indent 2"/>
    <w:basedOn w:val="15"/>
    <w:next w:val="1"/>
    <w:qFormat/>
    <w:uiPriority w:val="99"/>
    <w:pPr>
      <w:spacing w:line="580" w:lineRule="exact"/>
      <w:ind w:firstLine="420" w:firstLineChars="200"/>
    </w:pPr>
    <w:rPr>
      <w:szCs w:val="24"/>
    </w:rPr>
  </w:style>
  <w:style w:type="table" w:styleId="30">
    <w:name w:val="Table Grid"/>
    <w:basedOn w:val="2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Emphasis"/>
    <w:basedOn w:val="31"/>
    <w:qFormat/>
    <w:uiPriority w:val="0"/>
    <w:rPr>
      <w:i/>
    </w:rPr>
  </w:style>
  <w:style w:type="character" w:styleId="33">
    <w:name w:val="Hyperlink"/>
    <w:qFormat/>
    <w:uiPriority w:val="99"/>
    <w:rPr>
      <w:color w:val="000000"/>
      <w:sz w:val="18"/>
      <w:szCs w:val="18"/>
      <w:u w:val="none"/>
    </w:rPr>
  </w:style>
  <w:style w:type="character" w:styleId="34">
    <w:name w:val="annotation reference"/>
    <w:basedOn w:val="31"/>
    <w:qFormat/>
    <w:uiPriority w:val="0"/>
    <w:rPr>
      <w:sz w:val="21"/>
      <w:szCs w:val="21"/>
    </w:rPr>
  </w:style>
  <w:style w:type="character" w:styleId="35">
    <w:name w:val="footnote reference"/>
    <w:basedOn w:val="31"/>
    <w:qFormat/>
    <w:uiPriority w:val="0"/>
    <w:rPr>
      <w:vertAlign w:val="superscript"/>
    </w:rPr>
  </w:style>
  <w:style w:type="character" w:customStyle="1" w:styleId="36">
    <w:name w:val="标题 2 字符"/>
    <w:link w:val="3"/>
    <w:qFormat/>
    <w:uiPriority w:val="0"/>
    <w:rPr>
      <w:rFonts w:ascii="楷体_GB2312" w:hAnsi="楷体_GB2312" w:eastAsia="楷体_GB2312" w:cs="Times New Roman"/>
      <w:bCs/>
      <w:sz w:val="32"/>
      <w:szCs w:val="36"/>
    </w:rPr>
  </w:style>
  <w:style w:type="character" w:customStyle="1" w:styleId="37">
    <w:name w:val="标题 1 字符"/>
    <w:link w:val="2"/>
    <w:qFormat/>
    <w:uiPriority w:val="9"/>
    <w:rPr>
      <w:rFonts w:ascii="黑体" w:hAnsi="黑体" w:eastAsia="黑体" w:cs="Times New Roman"/>
      <w:kern w:val="2"/>
      <w:sz w:val="32"/>
      <w:szCs w:val="36"/>
    </w:rPr>
  </w:style>
  <w:style w:type="paragraph" w:customStyle="1" w:styleId="38">
    <w:name w:val="题目"/>
    <w:basedOn w:val="1"/>
    <w:qFormat/>
    <w:uiPriority w:val="0"/>
    <w:pPr>
      <w:jc w:val="center"/>
    </w:pPr>
    <w:rPr>
      <w:rFonts w:hint="eastAsia" w:eastAsia="小标宋"/>
      <w:sz w:val="44"/>
    </w:rPr>
  </w:style>
  <w:style w:type="paragraph" w:customStyle="1" w:styleId="39">
    <w:name w:val="标"/>
    <w:basedOn w:val="1"/>
    <w:qFormat/>
    <w:uiPriority w:val="0"/>
    <w:pPr>
      <w:widowControl/>
      <w:spacing w:line="240" w:lineRule="auto"/>
      <w:jc w:val="center"/>
      <w:textAlignment w:val="bottom"/>
    </w:pPr>
    <w:rPr>
      <w:color w:val="000000"/>
      <w:kern w:val="0"/>
      <w:sz w:val="24"/>
      <w:szCs w:val="20"/>
    </w:rPr>
  </w:style>
  <w:style w:type="paragraph" w:customStyle="1" w:styleId="40">
    <w:name w:val="来源"/>
    <w:basedOn w:val="1"/>
    <w:link w:val="74"/>
    <w:qFormat/>
    <w:uiPriority w:val="0"/>
    <w:pPr>
      <w:spacing w:line="240" w:lineRule="auto"/>
      <w:jc w:val="right"/>
    </w:pPr>
    <w:rPr>
      <w:rFonts w:hint="eastAsia" w:cs="仿宋_GB2312"/>
      <w:sz w:val="24"/>
      <w:szCs w:val="32"/>
    </w:rPr>
  </w:style>
  <w:style w:type="paragraph" w:customStyle="1" w:styleId="41">
    <w:name w:val="图表名"/>
    <w:basedOn w:val="1"/>
    <w:qFormat/>
    <w:uiPriority w:val="0"/>
    <w:pPr>
      <w:spacing w:line="240" w:lineRule="auto"/>
      <w:jc w:val="center"/>
    </w:pPr>
    <w:rPr>
      <w:rFonts w:eastAsia="黑体" w:cs="黑体"/>
      <w:sz w:val="24"/>
    </w:rPr>
  </w:style>
  <w:style w:type="paragraph" w:customStyle="1" w:styleId="42">
    <w:name w:val="数据来源"/>
    <w:basedOn w:val="40"/>
    <w:qFormat/>
    <w:uiPriority w:val="0"/>
    <w:pPr>
      <w:ind w:firstLine="480" w:firstLineChars="200"/>
    </w:pPr>
  </w:style>
  <w:style w:type="character" w:customStyle="1" w:styleId="43">
    <w:name w:val="标题 3 字符"/>
    <w:link w:val="4"/>
    <w:qFormat/>
    <w:uiPriority w:val="0"/>
    <w:rPr>
      <w:rFonts w:ascii="楷体_GB2312" w:hAnsi="楷体_GB2312" w:eastAsia="仿宋_GB2312" w:cs="楷体_GB2312"/>
      <w:b/>
      <w:szCs w:val="32"/>
      <w:lang w:val="zh-CN" w:bidi="zh-CN"/>
    </w:rPr>
  </w:style>
  <w:style w:type="paragraph" w:customStyle="1" w:styleId="44">
    <w:name w:val="表格文字"/>
    <w:basedOn w:val="1"/>
    <w:qFormat/>
    <w:uiPriority w:val="0"/>
    <w:pPr>
      <w:spacing w:line="240" w:lineRule="auto"/>
      <w:jc w:val="center"/>
    </w:pPr>
    <w:rPr>
      <w:rFonts w:cs="宋体"/>
      <w:sz w:val="24"/>
    </w:rPr>
  </w:style>
  <w:style w:type="character" w:customStyle="1" w:styleId="45">
    <w:name w:val="font11"/>
    <w:basedOn w:val="31"/>
    <w:qFormat/>
    <w:uiPriority w:val="0"/>
    <w:rPr>
      <w:rFonts w:hint="eastAsia" w:ascii="仿宋_GB2312" w:eastAsia="仿宋_GB2312" w:cs="仿宋_GB2312"/>
      <w:b/>
      <w:bCs/>
      <w:color w:val="000000"/>
      <w:sz w:val="21"/>
      <w:szCs w:val="21"/>
      <w:u w:val="none"/>
    </w:rPr>
  </w:style>
  <w:style w:type="character" w:customStyle="1" w:styleId="46">
    <w:name w:val="font31"/>
    <w:basedOn w:val="31"/>
    <w:qFormat/>
    <w:uiPriority w:val="0"/>
    <w:rPr>
      <w:rFonts w:hint="eastAsia" w:ascii="仿宋_GB2312" w:eastAsia="仿宋_GB2312" w:cs="仿宋_GB2312"/>
      <w:color w:val="000000"/>
      <w:sz w:val="21"/>
      <w:szCs w:val="21"/>
      <w:u w:val="none"/>
    </w:rPr>
  </w:style>
  <w:style w:type="paragraph" w:customStyle="1" w:styleId="47">
    <w:name w:val="正文缩进1"/>
    <w:basedOn w:val="48"/>
    <w:qFormat/>
    <w:uiPriority w:val="0"/>
    <w:pPr>
      <w:ind w:firstLine="420" w:firstLineChars="200"/>
    </w:pPr>
    <w:rPr>
      <w:rFonts w:ascii="Calibri" w:hAnsi="Calibri"/>
      <w:szCs w:val="22"/>
    </w:rPr>
  </w:style>
  <w:style w:type="paragraph" w:customStyle="1" w:styleId="48">
    <w:name w:val="正文 New New New New New New New New New New New New New New"/>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customStyle="1" w:styleId="49">
    <w:name w:val="图表文字"/>
    <w:basedOn w:val="1"/>
    <w:qFormat/>
    <w:uiPriority w:val="0"/>
    <w:pPr>
      <w:spacing w:line="240" w:lineRule="auto"/>
      <w:jc w:val="center"/>
    </w:pPr>
    <w:rPr>
      <w:sz w:val="21"/>
      <w:szCs w:val="21"/>
    </w:rPr>
  </w:style>
  <w:style w:type="character" w:customStyle="1" w:styleId="50">
    <w:name w:val="font41"/>
    <w:basedOn w:val="31"/>
    <w:qFormat/>
    <w:uiPriority w:val="0"/>
    <w:rPr>
      <w:rFonts w:ascii="仿宋_GB2312" w:eastAsia="仿宋_GB2312" w:cs="仿宋_GB2312"/>
      <w:b/>
      <w:bCs/>
      <w:color w:val="000000"/>
      <w:sz w:val="24"/>
      <w:szCs w:val="24"/>
      <w:u w:val="none"/>
    </w:rPr>
  </w:style>
  <w:style w:type="paragraph" w:customStyle="1" w:styleId="51">
    <w:name w:val="图表名称"/>
    <w:basedOn w:val="25"/>
    <w:qFormat/>
    <w:uiPriority w:val="0"/>
    <w:pPr>
      <w:snapToGrid w:val="0"/>
      <w:spacing w:beforeLines="50" w:afterLines="50" w:line="276" w:lineRule="auto"/>
      <w:outlineLvl w:val="9"/>
    </w:pPr>
    <w:rPr>
      <w:rFonts w:ascii="华文细黑" w:hAnsi="华文细黑" w:eastAsia="华文细黑" w:cs="Times New Roman"/>
      <w:sz w:val="21"/>
      <w:szCs w:val="21"/>
    </w:rPr>
  </w:style>
  <w:style w:type="paragraph" w:customStyle="1" w:styleId="52">
    <w:name w:val="修订1"/>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53">
    <w:name w:val="UserStyle_0"/>
    <w:basedOn w:val="1"/>
    <w:qFormat/>
    <w:uiPriority w:val="0"/>
    <w:pPr>
      <w:suppressAutoHyphens/>
      <w:ind w:firstLine="200" w:firstLineChars="200"/>
      <w:textAlignment w:val="baseline"/>
    </w:pPr>
    <w:rPr>
      <w:rFonts w:ascii="Calibri" w:hAnsi="Calibri" w:eastAsia="宋体"/>
      <w:color w:val="000000"/>
      <w:sz w:val="24"/>
      <w:szCs w:val="24"/>
    </w:rPr>
  </w:style>
  <w:style w:type="paragraph" w:customStyle="1" w:styleId="54">
    <w:name w:val="表格下方注释"/>
    <w:basedOn w:val="42"/>
    <w:qFormat/>
    <w:uiPriority w:val="0"/>
    <w:pPr>
      <w:ind w:firstLine="0" w:firstLineChars="0"/>
      <w:jc w:val="left"/>
    </w:pPr>
  </w:style>
  <w:style w:type="paragraph" w:customStyle="1" w:styleId="55">
    <w:name w:val="修订2"/>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56">
    <w:name w:val="表格标题"/>
    <w:basedOn w:val="57"/>
    <w:qFormat/>
    <w:uiPriority w:val="0"/>
    <w:pPr>
      <w:spacing w:beforeLines="50"/>
      <w:jc w:val="center"/>
    </w:pPr>
    <w:rPr>
      <w:rFonts w:eastAsia="宋体"/>
      <w:kern w:val="0"/>
      <w:sz w:val="24"/>
      <w:szCs w:val="21"/>
    </w:rPr>
  </w:style>
  <w:style w:type="paragraph" w:customStyle="1" w:styleId="57">
    <w:name w:val="无间隔1"/>
    <w:qFormat/>
    <w:uiPriority w:val="99"/>
    <w:pPr>
      <w:widowControl w:val="0"/>
      <w:spacing w:after="160" w:line="278" w:lineRule="auto"/>
      <w:jc w:val="both"/>
    </w:pPr>
    <w:rPr>
      <w:rFonts w:ascii="Times New Roman" w:hAnsi="Times New Roman" w:eastAsia="仿宋_GB2312" w:cs="Times New Roman"/>
      <w:kern w:val="2"/>
      <w:sz w:val="32"/>
      <w:szCs w:val="36"/>
      <w:lang w:val="en-US" w:eastAsia="zh-CN" w:bidi="ar-SA"/>
    </w:rPr>
  </w:style>
  <w:style w:type="character" w:customStyle="1" w:styleId="58">
    <w:name w:val="批注文字 字符"/>
    <w:basedOn w:val="31"/>
    <w:link w:val="12"/>
    <w:qFormat/>
    <w:uiPriority w:val="0"/>
    <w:rPr>
      <w:rFonts w:eastAsia="仿宋_GB2312"/>
      <w:kern w:val="2"/>
      <w:sz w:val="32"/>
      <w:szCs w:val="36"/>
    </w:rPr>
  </w:style>
  <w:style w:type="character" w:customStyle="1" w:styleId="59">
    <w:name w:val="脚注文本 字符"/>
    <w:basedOn w:val="31"/>
    <w:link w:val="22"/>
    <w:qFormat/>
    <w:uiPriority w:val="99"/>
    <w:rPr>
      <w:rFonts w:eastAsia="仿宋_GB2312"/>
      <w:kern w:val="2"/>
      <w:sz w:val="18"/>
      <w:szCs w:val="18"/>
    </w:rPr>
  </w:style>
  <w:style w:type="character" w:customStyle="1" w:styleId="60">
    <w:name w:val="页脚 字符"/>
    <w:basedOn w:val="31"/>
    <w:link w:val="18"/>
    <w:qFormat/>
    <w:uiPriority w:val="99"/>
    <w:rPr>
      <w:rFonts w:eastAsia="仿宋_GB2312"/>
      <w:kern w:val="2"/>
      <w:sz w:val="18"/>
      <w:szCs w:val="36"/>
    </w:rPr>
  </w:style>
  <w:style w:type="character" w:customStyle="1" w:styleId="61">
    <w:name w:val="页眉 字符"/>
    <w:basedOn w:val="31"/>
    <w:link w:val="19"/>
    <w:qFormat/>
    <w:uiPriority w:val="0"/>
    <w:rPr>
      <w:rFonts w:eastAsia="仿宋_GB2312"/>
      <w:kern w:val="2"/>
      <w:sz w:val="18"/>
      <w:szCs w:val="36"/>
    </w:rPr>
  </w:style>
  <w:style w:type="character" w:customStyle="1" w:styleId="62">
    <w:name w:val="批注主题 字符"/>
    <w:basedOn w:val="58"/>
    <w:link w:val="26"/>
    <w:qFormat/>
    <w:uiPriority w:val="0"/>
    <w:rPr>
      <w:rFonts w:eastAsia="仿宋_GB2312"/>
      <w:b/>
      <w:bCs/>
      <w:kern w:val="2"/>
      <w:sz w:val="32"/>
      <w:szCs w:val="36"/>
    </w:rPr>
  </w:style>
  <w:style w:type="paragraph" w:customStyle="1" w:styleId="63">
    <w:name w:val="修订3"/>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4">
    <w:name w:val="修订4"/>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5">
    <w:name w:val="修订5"/>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6">
    <w:name w:val="修订6"/>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7">
    <w:name w:val="修订7"/>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8">
    <w:name w:val="修订8"/>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69">
    <w:name w:val="修订9"/>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70">
    <w:name w:val="修订10"/>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71">
    <w:name w:val="修订11"/>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styleId="72">
    <w:name w:val="List Paragraph"/>
    <w:basedOn w:val="1"/>
    <w:unhideWhenUsed/>
    <w:qFormat/>
    <w:uiPriority w:val="99"/>
    <w:pPr>
      <w:ind w:firstLine="420"/>
    </w:pPr>
  </w:style>
  <w:style w:type="paragraph" w:customStyle="1" w:styleId="73">
    <w:name w:val="题注1"/>
    <w:basedOn w:val="1"/>
    <w:qFormat/>
    <w:uiPriority w:val="0"/>
    <w:pPr>
      <w:spacing w:line="240" w:lineRule="auto"/>
      <w:jc w:val="center"/>
    </w:pPr>
    <w:rPr>
      <w:rFonts w:hint="eastAsia" w:eastAsia="黑体"/>
      <w:sz w:val="24"/>
    </w:rPr>
  </w:style>
  <w:style w:type="character" w:customStyle="1" w:styleId="74">
    <w:name w:val="来源 Char"/>
    <w:link w:val="40"/>
    <w:qFormat/>
    <w:uiPriority w:val="0"/>
    <w:rPr>
      <w:rFonts w:eastAsia="仿宋_GB2312" w:cs="仿宋_GB2312"/>
      <w:kern w:val="2"/>
      <w:sz w:val="24"/>
      <w:szCs w:val="32"/>
    </w:rPr>
  </w:style>
  <w:style w:type="character" w:customStyle="1" w:styleId="75">
    <w:name w:val="font21"/>
    <w:basedOn w:val="31"/>
    <w:qFormat/>
    <w:uiPriority w:val="0"/>
    <w:rPr>
      <w:rFonts w:hint="default" w:ascii="Times New Roman" w:hAnsi="Times New Roman" w:cs="Times New Roman"/>
      <w:b/>
      <w:bCs/>
      <w:color w:val="000000"/>
      <w:sz w:val="24"/>
      <w:szCs w:val="24"/>
      <w:u w:val="none"/>
    </w:rPr>
  </w:style>
  <w:style w:type="table" w:customStyle="1" w:styleId="76">
    <w:name w:val="网格型1"/>
    <w:basedOn w:val="29"/>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7">
    <w:name w:val="网格型2"/>
    <w:basedOn w:val="29"/>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8">
    <w:name w:val="修订111"/>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table" w:customStyle="1" w:styleId="79">
    <w:name w:val="网格型3"/>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0">
    <w:name w:val="修订12"/>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character" w:customStyle="1" w:styleId="81">
    <w:name w:val="文档结构图 字符"/>
    <w:basedOn w:val="31"/>
    <w:link w:val="10"/>
    <w:qFormat/>
    <w:uiPriority w:val="0"/>
    <w:rPr>
      <w:rFonts w:ascii="宋体"/>
      <w:kern w:val="2"/>
      <w:sz w:val="18"/>
      <w:szCs w:val="18"/>
    </w:rPr>
  </w:style>
  <w:style w:type="character" w:customStyle="1" w:styleId="82">
    <w:name w:val="批注框文本 字符"/>
    <w:basedOn w:val="31"/>
    <w:link w:val="17"/>
    <w:qFormat/>
    <w:uiPriority w:val="0"/>
    <w:rPr>
      <w:rFonts w:eastAsia="仿宋_GB2312"/>
      <w:kern w:val="2"/>
      <w:sz w:val="18"/>
      <w:szCs w:val="18"/>
    </w:rPr>
  </w:style>
  <w:style w:type="paragraph" w:customStyle="1" w:styleId="83">
    <w:name w:val="修订13"/>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4">
    <w:name w:val="修订14"/>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5">
    <w:name w:val="修订15"/>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6">
    <w:name w:val="修订16"/>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7">
    <w:name w:val="修订17"/>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8">
    <w:name w:val="修订18"/>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89">
    <w:name w:val="修订19"/>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90">
    <w:name w:val="修订20"/>
    <w:hidden/>
    <w:unhideWhenUsed/>
    <w:qFormat/>
    <w:uiPriority w:val="99"/>
    <w:pPr>
      <w:spacing w:after="160" w:line="278" w:lineRule="auto"/>
    </w:pPr>
    <w:rPr>
      <w:rFonts w:ascii="Times New Roman" w:hAnsi="Times New Roman" w:eastAsia="仿宋_GB2312" w:cs="Times New Roman"/>
      <w:kern w:val="2"/>
      <w:sz w:val="32"/>
      <w:szCs w:val="36"/>
      <w:lang w:val="en-US" w:eastAsia="zh-CN" w:bidi="ar-SA"/>
    </w:rPr>
  </w:style>
  <w:style w:type="paragraph" w:customStyle="1" w:styleId="91">
    <w:name w:val="修订21"/>
    <w:hidden/>
    <w:unhideWhenUsed/>
    <w:qFormat/>
    <w:uiPriority w:val="99"/>
    <w:pPr>
      <w:spacing w:after="0" w:line="240" w:lineRule="auto"/>
    </w:pPr>
    <w:rPr>
      <w:rFonts w:ascii="Times New Roman" w:hAnsi="Times New Roman" w:eastAsia="仿宋_GB2312" w:cs="Times New Roman"/>
      <w:kern w:val="2"/>
      <w:sz w:val="32"/>
      <w:szCs w:val="36"/>
      <w:lang w:val="en-US" w:eastAsia="zh-CN" w:bidi="ar-SA"/>
    </w:rPr>
  </w:style>
  <w:style w:type="paragraph" w:customStyle="1" w:styleId="92">
    <w:name w:val="Revision"/>
    <w:hidden/>
    <w:unhideWhenUsed/>
    <w:qFormat/>
    <w:uiPriority w:val="99"/>
    <w:pPr>
      <w:spacing w:after="0" w:line="240" w:lineRule="auto"/>
    </w:pPr>
    <w:rPr>
      <w:rFonts w:ascii="Times New Roman" w:hAnsi="Times New Roman" w:eastAsia="仿宋_GB2312" w:cs="Times New Roman"/>
      <w:kern w:val="2"/>
      <w:sz w:val="32"/>
      <w:szCs w:val="3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36</Pages>
  <Words>12661</Words>
  <Characters>13777</Characters>
  <Lines>449</Lines>
  <Paragraphs>299</Paragraphs>
  <TotalTime>9</TotalTime>
  <ScaleCrop>false</ScaleCrop>
  <LinksUpToDate>false</LinksUpToDate>
  <CharactersWithSpaces>14268</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2026-09-10T00:29:00Z</dcterms:created>
  <dc:creator>lxy</dc:creator>
  <cp:lastModifiedBy>谭敏</cp:lastModifiedBy>
  <cp:lastPrinted>2026-10-22T17:54:00Z</cp:lastPrinted>
  <dcterms:modified xsi:type="dcterms:W3CDTF">2026-11-04T17:39:18Z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021A27CB394840ADAA41B4AC528E6815_13</vt:lpwstr>
  </property>
  <property fmtid="{D5CDD505-2E9C-101B-9397-08002B2CF9AE}" pid="4" name="KSOTemplateDocerSaveRecord">
    <vt:lpwstr>eyJoZGlkIjoiYTJhM2U4NmIyNGUxYzg0NDE3OWE1MzNhNWZhNmJlYzgiLCJ1c2VySWQiOiIxNzY1OTU2NTYzIn0=</vt:lpwstr>
  </property>
</Properties>
</file>