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33" w:rsidRDefault="001C3433" w:rsidP="001C3433">
      <w:pPr>
        <w:spacing w:line="560" w:lineRule="exact"/>
        <w:outlineLvl w:val="1"/>
        <w:rPr>
          <w:rFonts w:ascii="黑体" w:eastAsia="黑体" w:hAnsi="黑体" w:cs="黑体"/>
          <w:sz w:val="32"/>
          <w:szCs w:val="32"/>
        </w:rPr>
      </w:pPr>
      <w:r>
        <w:rPr>
          <w:rFonts w:ascii="黑体" w:eastAsia="黑体" w:hAnsi="黑体" w:cs="黑体" w:hint="eastAsia"/>
          <w:sz w:val="32"/>
          <w:szCs w:val="32"/>
        </w:rPr>
        <w:t>附件4</w:t>
      </w:r>
    </w:p>
    <w:p w:rsidR="001C3433" w:rsidRDefault="001C3433" w:rsidP="001C3433">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香港企业与内地企业业务范围对照表（一）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1080"/>
        <w:gridCol w:w="2550"/>
        <w:gridCol w:w="1710"/>
        <w:gridCol w:w="2959"/>
      </w:tblGrid>
      <w:tr w:rsidR="001C3433" w:rsidTr="00660B5D">
        <w:trPr>
          <w:trHeight w:val="986"/>
        </w:trPr>
        <w:tc>
          <w:tcPr>
            <w:tcW w:w="4392" w:type="dxa"/>
            <w:gridSpan w:val="3"/>
            <w:vAlign w:val="center"/>
          </w:tcPr>
          <w:p w:rsidR="001C3433" w:rsidRDefault="001C3433" w:rsidP="00660B5D">
            <w:pPr>
              <w:spacing w:line="0" w:lineRule="atLeast"/>
              <w:jc w:val="center"/>
              <w:rPr>
                <w:rFonts w:ascii="宋体" w:hAnsi="宋体" w:cs="宋体"/>
                <w:sz w:val="28"/>
                <w:szCs w:val="28"/>
              </w:rPr>
            </w:pPr>
            <w:r>
              <w:rPr>
                <w:rFonts w:ascii="宋体" w:hAnsi="宋体" w:cs="宋体" w:hint="eastAsia"/>
                <w:sz w:val="28"/>
                <w:szCs w:val="28"/>
              </w:rPr>
              <w:t>香港建筑署《建筑及有关顾问公司遴选委员会顾问公司名单》</w:t>
            </w:r>
          </w:p>
          <w:p w:rsidR="001C3433" w:rsidRDefault="001C3433" w:rsidP="00660B5D">
            <w:pPr>
              <w:spacing w:line="0" w:lineRule="atLeast"/>
              <w:jc w:val="center"/>
              <w:rPr>
                <w:rFonts w:ascii="宋体" w:hAnsi="宋体" w:cs="宋体"/>
                <w:sz w:val="28"/>
                <w:szCs w:val="28"/>
              </w:rPr>
            </w:pPr>
            <w:r>
              <w:rPr>
                <w:rFonts w:ascii="宋体" w:hAnsi="宋体" w:cs="宋体" w:hint="eastAsia"/>
                <w:sz w:val="28"/>
                <w:szCs w:val="28"/>
              </w:rPr>
              <w:t>所列专业机构</w:t>
            </w:r>
          </w:p>
        </w:tc>
        <w:tc>
          <w:tcPr>
            <w:tcW w:w="4669" w:type="dxa"/>
            <w:gridSpan w:val="2"/>
            <w:vAlign w:val="center"/>
          </w:tcPr>
          <w:p w:rsidR="001C3433" w:rsidRDefault="001C3433" w:rsidP="00660B5D">
            <w:pPr>
              <w:spacing w:line="0" w:lineRule="atLeast"/>
              <w:jc w:val="center"/>
              <w:rPr>
                <w:rFonts w:ascii="宋体" w:hAnsi="宋体" w:cs="宋体"/>
                <w:sz w:val="28"/>
                <w:szCs w:val="28"/>
              </w:rPr>
            </w:pPr>
            <w:r>
              <w:rPr>
                <w:rFonts w:ascii="宋体" w:hAnsi="宋体" w:cs="宋体" w:hint="eastAsia"/>
                <w:sz w:val="28"/>
                <w:szCs w:val="28"/>
              </w:rPr>
              <w:t>内地企业</w:t>
            </w:r>
          </w:p>
        </w:tc>
      </w:tr>
      <w:tr w:rsidR="001C3433" w:rsidTr="00660B5D">
        <w:tc>
          <w:tcPr>
            <w:tcW w:w="762" w:type="dxa"/>
            <w:vAlign w:val="center"/>
          </w:tcPr>
          <w:p w:rsidR="001C3433" w:rsidRDefault="001C3433" w:rsidP="00660B5D">
            <w:pPr>
              <w:spacing w:line="560" w:lineRule="exact"/>
              <w:jc w:val="center"/>
              <w:rPr>
                <w:rFonts w:ascii="黑体" w:eastAsia="黑体" w:hAnsi="黑体" w:cs="黑体"/>
                <w:szCs w:val="21"/>
              </w:rPr>
            </w:pPr>
            <w:r>
              <w:rPr>
                <w:rFonts w:ascii="黑体" w:eastAsia="黑体" w:hAnsi="黑体" w:cs="黑体" w:hint="eastAsia"/>
                <w:szCs w:val="21"/>
              </w:rPr>
              <w:t>类别</w:t>
            </w:r>
          </w:p>
        </w:tc>
        <w:tc>
          <w:tcPr>
            <w:tcW w:w="1080" w:type="dxa"/>
            <w:vAlign w:val="center"/>
          </w:tcPr>
          <w:p w:rsidR="001C3433" w:rsidRDefault="001C3433" w:rsidP="00660B5D">
            <w:pPr>
              <w:spacing w:line="560" w:lineRule="exact"/>
              <w:jc w:val="center"/>
              <w:rPr>
                <w:rFonts w:ascii="黑体" w:eastAsia="黑体" w:hAnsi="黑体" w:cs="黑体"/>
                <w:szCs w:val="21"/>
              </w:rPr>
            </w:pPr>
            <w:r>
              <w:rPr>
                <w:rFonts w:ascii="黑体" w:eastAsia="黑体" w:hAnsi="黑体" w:cs="黑体" w:hint="eastAsia"/>
                <w:szCs w:val="21"/>
              </w:rPr>
              <w:t>分组</w:t>
            </w:r>
          </w:p>
        </w:tc>
        <w:tc>
          <w:tcPr>
            <w:tcW w:w="2550" w:type="dxa"/>
            <w:vAlign w:val="center"/>
          </w:tcPr>
          <w:p w:rsidR="001C3433" w:rsidRDefault="001C3433" w:rsidP="00660B5D">
            <w:pPr>
              <w:spacing w:line="560" w:lineRule="exact"/>
              <w:jc w:val="center"/>
              <w:rPr>
                <w:rFonts w:ascii="黑体" w:eastAsia="黑体" w:hAnsi="黑体" w:cs="黑体"/>
                <w:szCs w:val="21"/>
              </w:rPr>
            </w:pPr>
            <w:r>
              <w:rPr>
                <w:rFonts w:ascii="黑体" w:eastAsia="黑体" w:hAnsi="黑体" w:cs="黑体" w:hint="eastAsia"/>
                <w:szCs w:val="21"/>
              </w:rPr>
              <w:t>业务范围</w:t>
            </w:r>
          </w:p>
        </w:tc>
        <w:tc>
          <w:tcPr>
            <w:tcW w:w="1710" w:type="dxa"/>
            <w:vAlign w:val="center"/>
          </w:tcPr>
          <w:p w:rsidR="001C3433" w:rsidRDefault="001C3433" w:rsidP="00660B5D">
            <w:pPr>
              <w:spacing w:line="560" w:lineRule="exact"/>
              <w:jc w:val="center"/>
              <w:rPr>
                <w:rFonts w:ascii="黑体" w:eastAsia="黑体" w:hAnsi="黑体" w:cs="黑体"/>
                <w:szCs w:val="21"/>
              </w:rPr>
            </w:pPr>
            <w:r>
              <w:rPr>
                <w:rFonts w:ascii="黑体" w:eastAsia="黑体" w:hAnsi="黑体" w:cs="黑体" w:hint="eastAsia"/>
                <w:szCs w:val="21"/>
              </w:rPr>
              <w:t>资质</w:t>
            </w:r>
          </w:p>
        </w:tc>
        <w:tc>
          <w:tcPr>
            <w:tcW w:w="2959" w:type="dxa"/>
            <w:vAlign w:val="center"/>
          </w:tcPr>
          <w:p w:rsidR="001C3433" w:rsidRDefault="001C3433" w:rsidP="00660B5D">
            <w:pPr>
              <w:spacing w:line="560" w:lineRule="exact"/>
              <w:jc w:val="center"/>
              <w:rPr>
                <w:rFonts w:ascii="黑体" w:eastAsia="黑体" w:hAnsi="黑体" w:cs="黑体"/>
                <w:szCs w:val="21"/>
              </w:rPr>
            </w:pPr>
            <w:r>
              <w:rPr>
                <w:rFonts w:ascii="黑体" w:eastAsia="黑体" w:hAnsi="黑体" w:cs="黑体" w:hint="eastAsia"/>
                <w:szCs w:val="21"/>
              </w:rPr>
              <w:t>业务范围</w:t>
            </w:r>
          </w:p>
        </w:tc>
      </w:tr>
      <w:tr w:rsidR="001C3433" w:rsidTr="00660B5D">
        <w:trPr>
          <w:trHeight w:val="2169"/>
        </w:trPr>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建筑</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工程估值超过3亿元港元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建筑设计事务所</w:t>
            </w:r>
          </w:p>
        </w:tc>
        <w:tc>
          <w:tcPr>
            <w:tcW w:w="2959"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1.可以承接所有等级的各类建筑工程项目方案设计、初步设计及施工图设计中的建筑专业设计与技术服务。</w:t>
            </w:r>
          </w:p>
          <w:p w:rsidR="001C3433" w:rsidRDefault="001C3433" w:rsidP="00660B5D">
            <w:pPr>
              <w:spacing w:line="0" w:lineRule="atLeast"/>
              <w:rPr>
                <w:rFonts w:ascii="宋体" w:hAnsi="宋体" w:cs="宋体"/>
                <w:szCs w:val="21"/>
              </w:rPr>
            </w:pPr>
            <w:r>
              <w:rPr>
                <w:rFonts w:ascii="宋体" w:hAnsi="宋体" w:cs="宋体" w:hint="eastAsia"/>
                <w:szCs w:val="21"/>
              </w:rPr>
              <w:t>2.取得设计事务所资质的企业可以根据工程的类别和性质作为承包方对建筑工程项目的设计实行总包。承包方应当自行完成建筑工程本专业的设计业务，并在保证整个建筑工程项目完整性的前提下，经发包方同意，将其他部分专业设计业务发包给具有相应资质的分包方。</w:t>
            </w:r>
          </w:p>
        </w:tc>
      </w:tr>
      <w:tr w:rsidR="001C3433" w:rsidTr="00660B5D">
        <w:trPr>
          <w:trHeight w:val="1653"/>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工程估值不超过3亿元港元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建筑设计事务所（工程估值不超过3亿元港元）</w:t>
            </w:r>
          </w:p>
        </w:tc>
        <w:tc>
          <w:tcPr>
            <w:tcW w:w="2959" w:type="dxa"/>
            <w:vMerge/>
            <w:vAlign w:val="center"/>
          </w:tcPr>
          <w:p w:rsidR="001C3433" w:rsidRDefault="001C3433" w:rsidP="00660B5D">
            <w:pPr>
              <w:spacing w:line="0" w:lineRule="atLeast"/>
              <w:rPr>
                <w:rFonts w:ascii="宋体" w:hAnsi="宋体" w:cs="宋体"/>
                <w:szCs w:val="21"/>
              </w:rPr>
            </w:pPr>
          </w:p>
        </w:tc>
      </w:tr>
      <w:tr w:rsidR="001C3433" w:rsidTr="00660B5D">
        <w:trPr>
          <w:trHeight w:val="2163"/>
        </w:trPr>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结构</w:t>
            </w:r>
          </w:p>
          <w:p w:rsidR="001C3433" w:rsidRDefault="001C3433" w:rsidP="00660B5D">
            <w:pPr>
              <w:spacing w:line="0" w:lineRule="atLeast"/>
              <w:rPr>
                <w:rFonts w:ascii="宋体" w:hAnsi="宋体" w:cs="宋体"/>
                <w:szCs w:val="21"/>
              </w:rPr>
            </w:pPr>
            <w:r>
              <w:rPr>
                <w:rFonts w:ascii="宋体" w:hAnsi="宋体" w:cs="宋体" w:hint="eastAsia"/>
                <w:szCs w:val="21"/>
              </w:rPr>
              <w:t>工程</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工程估值超过3亿元港元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结构设计事务所</w:t>
            </w:r>
          </w:p>
        </w:tc>
        <w:tc>
          <w:tcPr>
            <w:tcW w:w="2959"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1.可以承接所有等级的各类建筑工程项目方案设计、初步设计及施工图设计中的结构专业（包括轻钢结构）设计与技术服务。</w:t>
            </w:r>
          </w:p>
          <w:p w:rsidR="001C3433" w:rsidRDefault="001C3433" w:rsidP="00660B5D">
            <w:pPr>
              <w:spacing w:line="0" w:lineRule="atLeast"/>
              <w:rPr>
                <w:rFonts w:ascii="宋体" w:hAnsi="宋体" w:cs="宋体"/>
                <w:szCs w:val="21"/>
              </w:rPr>
            </w:pPr>
            <w:r>
              <w:rPr>
                <w:rFonts w:ascii="宋体" w:hAnsi="宋体" w:cs="宋体" w:hint="eastAsia"/>
                <w:szCs w:val="21"/>
              </w:rPr>
              <w:t>2.取得设计事务所资质的企业可以根据工程的类别和性质作为承包方对建筑工程项目的设计实行总包。承包方应当自行完成建筑工程本专业的设计业务，并在保证整个建筑工程项目完整性的前提下，经发包方同意，将其他部分专业设计业务发包给具有相应资质的分包方。</w:t>
            </w:r>
          </w:p>
        </w:tc>
      </w:tr>
      <w:tr w:rsidR="001C3433" w:rsidTr="00660B5D">
        <w:trPr>
          <w:trHeight w:val="1592"/>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工程估值不超过3亿元港元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结构设计事务所（工程估值不超过3亿元港元）</w:t>
            </w:r>
          </w:p>
        </w:tc>
        <w:tc>
          <w:tcPr>
            <w:tcW w:w="2959" w:type="dxa"/>
            <w:vMerge/>
            <w:vAlign w:val="center"/>
          </w:tcPr>
          <w:p w:rsidR="001C3433" w:rsidRDefault="001C3433" w:rsidP="00660B5D">
            <w:pPr>
              <w:spacing w:line="0" w:lineRule="atLeast"/>
              <w:rPr>
                <w:rFonts w:ascii="宋体" w:hAnsi="宋体" w:cs="宋体"/>
                <w:szCs w:val="21"/>
              </w:rPr>
            </w:pPr>
          </w:p>
        </w:tc>
      </w:tr>
      <w:tr w:rsidR="001C3433" w:rsidTr="00660B5D">
        <w:trPr>
          <w:trHeight w:val="1808"/>
        </w:trPr>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屋宇</w:t>
            </w:r>
          </w:p>
          <w:p w:rsidR="001C3433" w:rsidRDefault="001C3433" w:rsidP="00660B5D">
            <w:pPr>
              <w:spacing w:line="0" w:lineRule="atLeast"/>
              <w:rPr>
                <w:rFonts w:ascii="宋体" w:hAnsi="宋体" w:cs="宋体"/>
                <w:szCs w:val="21"/>
              </w:rPr>
            </w:pPr>
            <w:r>
              <w:rPr>
                <w:rFonts w:ascii="宋体" w:hAnsi="宋体" w:cs="宋体" w:hint="eastAsia"/>
                <w:szCs w:val="21"/>
              </w:rPr>
              <w:t>装备</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工程估值超过3亿元港元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机电设计事务所</w:t>
            </w:r>
          </w:p>
        </w:tc>
        <w:tc>
          <w:tcPr>
            <w:tcW w:w="2959"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1.可以承接所有等级的各类建筑工程（包括建筑智能化设计）方案设计、初步设计及施工图设计中的机电设备专业的设计与技术服务。</w:t>
            </w:r>
          </w:p>
          <w:p w:rsidR="001C3433" w:rsidRDefault="001C3433" w:rsidP="00660B5D">
            <w:pPr>
              <w:spacing w:line="0" w:lineRule="atLeast"/>
              <w:rPr>
                <w:rFonts w:ascii="宋体" w:hAnsi="宋体" w:cs="宋体"/>
                <w:szCs w:val="21"/>
              </w:rPr>
            </w:pPr>
            <w:r>
              <w:rPr>
                <w:rFonts w:ascii="宋体" w:hAnsi="宋体" w:cs="宋体" w:hint="eastAsia"/>
                <w:szCs w:val="21"/>
              </w:rPr>
              <w:t>2.取得设计事务所资质的企业可以根据工程的类别和性质作为承包方对建筑工程项目的设计实行总包。承包方应当自行完成建筑工程本专业的设计业务，并在保证整个建筑工程项</w:t>
            </w:r>
            <w:r>
              <w:rPr>
                <w:rFonts w:ascii="宋体" w:hAnsi="宋体" w:cs="宋体" w:hint="eastAsia"/>
                <w:szCs w:val="21"/>
              </w:rPr>
              <w:lastRenderedPageBreak/>
              <w:t>目完整性的前提下，经发包方同意，将其他部分专业设计业务发包给具有相应资质的分包方。</w:t>
            </w:r>
          </w:p>
        </w:tc>
      </w:tr>
      <w:tr w:rsidR="001C3433" w:rsidTr="00660B5D">
        <w:trPr>
          <w:trHeight w:val="858"/>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工程估值不超过3亿元港元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机电设计事务所（工程估值不超过3亿元港元）</w:t>
            </w:r>
          </w:p>
        </w:tc>
        <w:tc>
          <w:tcPr>
            <w:tcW w:w="2959" w:type="dxa"/>
            <w:vMerge/>
            <w:vAlign w:val="center"/>
          </w:tcPr>
          <w:p w:rsidR="001C3433" w:rsidRDefault="001C3433" w:rsidP="00660B5D">
            <w:pPr>
              <w:spacing w:line="0" w:lineRule="atLeast"/>
              <w:rPr>
                <w:rFonts w:ascii="宋体" w:hAnsi="宋体" w:cs="宋体"/>
                <w:szCs w:val="21"/>
              </w:rPr>
            </w:pPr>
          </w:p>
        </w:tc>
      </w:tr>
      <w:tr w:rsidR="001C3433" w:rsidTr="00660B5D">
        <w:trPr>
          <w:trHeight w:val="744"/>
        </w:trPr>
        <w:tc>
          <w:tcPr>
            <w:tcW w:w="762"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lastRenderedPageBreak/>
              <w:t>园林</w:t>
            </w:r>
          </w:p>
          <w:p w:rsidR="001C3433" w:rsidRDefault="001C3433" w:rsidP="00660B5D">
            <w:pPr>
              <w:spacing w:line="0" w:lineRule="atLeast"/>
              <w:rPr>
                <w:rFonts w:ascii="宋体" w:hAnsi="宋体" w:cs="宋体"/>
                <w:szCs w:val="21"/>
              </w:rPr>
            </w:pPr>
            <w:r>
              <w:rPr>
                <w:rFonts w:ascii="宋体" w:hAnsi="宋体" w:cs="宋体" w:hint="eastAsia"/>
                <w:szCs w:val="21"/>
              </w:rPr>
              <w:t>建筑</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不分组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工程估值无限制</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风景园林工程设计专项甲级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承担风景园林工程专项设计的类型和规模不受限制。</w:t>
            </w:r>
          </w:p>
        </w:tc>
      </w:tr>
      <w:tr w:rsidR="001C3433" w:rsidTr="00660B5D">
        <w:trPr>
          <w:trHeight w:val="714"/>
        </w:trPr>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工料</w:t>
            </w:r>
          </w:p>
          <w:p w:rsidR="001C3433" w:rsidRDefault="001C3433" w:rsidP="00660B5D">
            <w:pPr>
              <w:spacing w:line="0" w:lineRule="atLeast"/>
              <w:rPr>
                <w:rFonts w:ascii="宋体" w:hAnsi="宋体" w:cs="宋体"/>
                <w:szCs w:val="21"/>
              </w:rPr>
            </w:pPr>
            <w:r>
              <w:rPr>
                <w:rFonts w:ascii="宋体" w:hAnsi="宋体" w:cs="宋体" w:hint="eastAsia"/>
                <w:szCs w:val="21"/>
              </w:rPr>
              <w:t>测量</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工程估值超过3亿元港元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工程造价咨询</w:t>
            </w:r>
            <w:proofErr w:type="gramStart"/>
            <w:r>
              <w:rPr>
                <w:rFonts w:ascii="宋体" w:hAnsi="宋体" w:cs="宋体" w:hint="eastAsia"/>
                <w:szCs w:val="21"/>
              </w:rPr>
              <w:t>企业甲级</w:t>
            </w:r>
            <w:proofErr w:type="gramEnd"/>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可以从事各类建设项目的工程造价咨询业务。</w:t>
            </w:r>
          </w:p>
        </w:tc>
      </w:tr>
      <w:tr w:rsidR="001C3433" w:rsidTr="00660B5D">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工程估值不超过3亿元港元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工程造价咨询企业乙级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可以从事工程造价5000万元人民币以下的各类建设项目的工程造价咨询业务。</w:t>
            </w:r>
          </w:p>
        </w:tc>
      </w:tr>
      <w:tr w:rsidR="001C3433" w:rsidTr="00660B5D">
        <w:tc>
          <w:tcPr>
            <w:tcW w:w="762"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建筑</w:t>
            </w:r>
          </w:p>
          <w:p w:rsidR="001C3433" w:rsidRDefault="001C3433" w:rsidP="00660B5D">
            <w:pPr>
              <w:spacing w:line="0" w:lineRule="atLeast"/>
              <w:rPr>
                <w:rFonts w:ascii="宋体" w:hAnsi="宋体" w:cs="宋体"/>
                <w:szCs w:val="21"/>
              </w:rPr>
            </w:pPr>
            <w:r>
              <w:rPr>
                <w:rFonts w:ascii="宋体" w:hAnsi="宋体" w:cs="宋体" w:hint="eastAsia"/>
                <w:szCs w:val="21"/>
              </w:rPr>
              <w:t>测量</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不分组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工程估值无限制</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工程监理企业（房屋建筑工程）甲级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可承担相应专业工程类别建设工程项目的工程监理业务。</w:t>
            </w:r>
          </w:p>
        </w:tc>
      </w:tr>
      <w:tr w:rsidR="001C3433" w:rsidTr="00660B5D">
        <w:tc>
          <w:tcPr>
            <w:tcW w:w="4392" w:type="dxa"/>
            <w:gridSpan w:val="3"/>
            <w:vAlign w:val="center"/>
          </w:tcPr>
          <w:p w:rsidR="001C3433" w:rsidRDefault="001C3433" w:rsidP="00660B5D">
            <w:pPr>
              <w:spacing w:line="0" w:lineRule="atLeast"/>
              <w:rPr>
                <w:rFonts w:ascii="宋体" w:hAnsi="宋体" w:cs="宋体"/>
                <w:szCs w:val="21"/>
              </w:rPr>
            </w:pPr>
            <w:r>
              <w:rPr>
                <w:rFonts w:ascii="宋体" w:hAnsi="宋体" w:cs="宋体" w:hint="eastAsia"/>
                <w:szCs w:val="21"/>
              </w:rPr>
              <w:t>同时为建筑、结构、屋宇装备类别第一组的专业机构</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建筑工程设计</w:t>
            </w:r>
            <w:proofErr w:type="gramStart"/>
            <w:r>
              <w:rPr>
                <w:rFonts w:ascii="宋体" w:hAnsi="宋体" w:cs="宋体" w:hint="eastAsia"/>
                <w:szCs w:val="21"/>
              </w:rPr>
              <w:t>专业甲级</w:t>
            </w:r>
            <w:proofErr w:type="gramEnd"/>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可承担本专业建设工程项目主体工程及其配套工程的设计业务、其规模不受限制。</w:t>
            </w:r>
          </w:p>
        </w:tc>
      </w:tr>
    </w:tbl>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香港企业与内地企业业务范围对照表（二）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1080"/>
        <w:gridCol w:w="2550"/>
        <w:gridCol w:w="1710"/>
        <w:gridCol w:w="2959"/>
      </w:tblGrid>
      <w:tr w:rsidR="001C3433" w:rsidTr="00660B5D">
        <w:trPr>
          <w:trHeight w:val="986"/>
        </w:trPr>
        <w:tc>
          <w:tcPr>
            <w:tcW w:w="4392" w:type="dxa"/>
            <w:gridSpan w:val="3"/>
            <w:vAlign w:val="center"/>
          </w:tcPr>
          <w:p w:rsidR="001C3433" w:rsidRDefault="001C3433" w:rsidP="00660B5D">
            <w:pPr>
              <w:spacing w:line="0" w:lineRule="atLeast"/>
              <w:jc w:val="center"/>
              <w:rPr>
                <w:rFonts w:ascii="宋体" w:hAnsi="宋体" w:cs="宋体"/>
                <w:sz w:val="28"/>
                <w:szCs w:val="28"/>
              </w:rPr>
            </w:pPr>
            <w:r>
              <w:rPr>
                <w:rFonts w:ascii="宋体" w:hAnsi="宋体" w:cs="宋体" w:hint="eastAsia"/>
                <w:sz w:val="28"/>
                <w:szCs w:val="28"/>
              </w:rPr>
              <w:t>香港土木工程拓展署《工程及有关顾问公司遴选委员会顾问公司名单》所列专业机构</w:t>
            </w:r>
          </w:p>
        </w:tc>
        <w:tc>
          <w:tcPr>
            <w:tcW w:w="4669" w:type="dxa"/>
            <w:gridSpan w:val="2"/>
            <w:vAlign w:val="center"/>
          </w:tcPr>
          <w:p w:rsidR="001C3433" w:rsidRDefault="001C3433" w:rsidP="00660B5D">
            <w:pPr>
              <w:spacing w:line="0" w:lineRule="atLeast"/>
              <w:jc w:val="center"/>
              <w:rPr>
                <w:rFonts w:ascii="宋体" w:hAnsi="宋体" w:cs="宋体"/>
                <w:sz w:val="28"/>
                <w:szCs w:val="28"/>
              </w:rPr>
            </w:pPr>
            <w:r>
              <w:rPr>
                <w:rFonts w:ascii="宋体" w:hAnsi="宋体" w:cs="宋体" w:hint="eastAsia"/>
                <w:sz w:val="28"/>
                <w:szCs w:val="28"/>
              </w:rPr>
              <w:t>内地企业</w:t>
            </w:r>
          </w:p>
        </w:tc>
      </w:tr>
      <w:tr w:rsidR="001C3433" w:rsidTr="00660B5D">
        <w:tc>
          <w:tcPr>
            <w:tcW w:w="762" w:type="dxa"/>
            <w:vAlign w:val="center"/>
          </w:tcPr>
          <w:p w:rsidR="001C3433" w:rsidRDefault="001C3433" w:rsidP="00660B5D">
            <w:pPr>
              <w:spacing w:line="560" w:lineRule="exact"/>
              <w:jc w:val="center"/>
              <w:rPr>
                <w:rFonts w:ascii="黑体" w:eastAsia="黑体" w:hAnsi="黑体" w:cs="黑体"/>
                <w:szCs w:val="21"/>
              </w:rPr>
            </w:pPr>
            <w:r>
              <w:rPr>
                <w:rFonts w:ascii="黑体" w:eastAsia="黑体" w:hAnsi="黑体" w:cs="黑体" w:hint="eastAsia"/>
                <w:szCs w:val="21"/>
              </w:rPr>
              <w:lastRenderedPageBreak/>
              <w:t>类别</w:t>
            </w:r>
          </w:p>
        </w:tc>
        <w:tc>
          <w:tcPr>
            <w:tcW w:w="1080" w:type="dxa"/>
            <w:vAlign w:val="center"/>
          </w:tcPr>
          <w:p w:rsidR="001C3433" w:rsidRDefault="001C3433" w:rsidP="00660B5D">
            <w:pPr>
              <w:spacing w:line="560" w:lineRule="exact"/>
              <w:jc w:val="center"/>
              <w:rPr>
                <w:rFonts w:ascii="黑体" w:eastAsia="黑体" w:hAnsi="黑体" w:cs="黑体"/>
                <w:szCs w:val="21"/>
              </w:rPr>
            </w:pPr>
            <w:r>
              <w:rPr>
                <w:rFonts w:ascii="黑体" w:eastAsia="黑体" w:hAnsi="黑体" w:cs="黑体" w:hint="eastAsia"/>
                <w:szCs w:val="21"/>
              </w:rPr>
              <w:t>分组</w:t>
            </w:r>
          </w:p>
        </w:tc>
        <w:tc>
          <w:tcPr>
            <w:tcW w:w="2550" w:type="dxa"/>
            <w:vAlign w:val="center"/>
          </w:tcPr>
          <w:p w:rsidR="001C3433" w:rsidRDefault="001C3433" w:rsidP="00660B5D">
            <w:pPr>
              <w:spacing w:line="560" w:lineRule="exact"/>
              <w:jc w:val="center"/>
              <w:rPr>
                <w:rFonts w:ascii="黑体" w:eastAsia="黑体" w:hAnsi="黑体" w:cs="黑体"/>
                <w:szCs w:val="21"/>
              </w:rPr>
            </w:pPr>
            <w:r>
              <w:rPr>
                <w:rFonts w:ascii="黑体" w:eastAsia="黑体" w:hAnsi="黑体" w:cs="黑体" w:hint="eastAsia"/>
                <w:szCs w:val="21"/>
              </w:rPr>
              <w:t>业务范围</w:t>
            </w:r>
          </w:p>
        </w:tc>
        <w:tc>
          <w:tcPr>
            <w:tcW w:w="1710" w:type="dxa"/>
            <w:vAlign w:val="center"/>
          </w:tcPr>
          <w:p w:rsidR="001C3433" w:rsidRDefault="001C3433" w:rsidP="00660B5D">
            <w:pPr>
              <w:spacing w:line="560" w:lineRule="exact"/>
              <w:jc w:val="center"/>
              <w:rPr>
                <w:rFonts w:ascii="黑体" w:eastAsia="黑体" w:hAnsi="黑体" w:cs="黑体"/>
                <w:szCs w:val="21"/>
              </w:rPr>
            </w:pPr>
            <w:r>
              <w:rPr>
                <w:rFonts w:ascii="黑体" w:eastAsia="黑体" w:hAnsi="黑体" w:cs="黑体" w:hint="eastAsia"/>
                <w:szCs w:val="21"/>
              </w:rPr>
              <w:t>资质</w:t>
            </w:r>
          </w:p>
        </w:tc>
        <w:tc>
          <w:tcPr>
            <w:tcW w:w="2959" w:type="dxa"/>
            <w:vAlign w:val="center"/>
          </w:tcPr>
          <w:p w:rsidR="001C3433" w:rsidRDefault="001C3433" w:rsidP="00660B5D">
            <w:pPr>
              <w:spacing w:line="560" w:lineRule="exact"/>
              <w:jc w:val="center"/>
              <w:rPr>
                <w:rFonts w:ascii="黑体" w:eastAsia="黑体" w:hAnsi="黑体" w:cs="黑体"/>
                <w:szCs w:val="21"/>
              </w:rPr>
            </w:pPr>
            <w:r>
              <w:rPr>
                <w:rFonts w:ascii="黑体" w:eastAsia="黑体" w:hAnsi="黑体" w:cs="黑体" w:hint="eastAsia"/>
                <w:szCs w:val="21"/>
              </w:rPr>
              <w:t>业务范围</w:t>
            </w:r>
          </w:p>
        </w:tc>
      </w:tr>
      <w:tr w:rsidR="001C3433" w:rsidTr="00660B5D">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基建及发展</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顾问费用不超过500万港元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市政工程设计行业乙级</w:t>
            </w:r>
          </w:p>
        </w:tc>
        <w:tc>
          <w:tcPr>
            <w:tcW w:w="2959" w:type="dxa"/>
            <w:vAlign w:val="center"/>
          </w:tcPr>
          <w:p w:rsidR="001C3433" w:rsidRDefault="001C3433" w:rsidP="00660B5D">
            <w:pPr>
              <w:spacing w:line="0" w:lineRule="atLeast"/>
              <w:rPr>
                <w:rFonts w:ascii="宋体" w:hAnsi="宋体" w:cs="宋体"/>
                <w:b/>
                <w:bCs/>
                <w:szCs w:val="21"/>
              </w:rPr>
            </w:pPr>
            <w:r>
              <w:rPr>
                <w:rFonts w:ascii="宋体" w:hAnsi="宋体" w:cs="宋体" w:hint="eastAsia"/>
                <w:szCs w:val="21"/>
              </w:rPr>
              <w:t>承担本行业中、小型建设工程项目的主体工程及其配套工程的设计业务。</w:t>
            </w:r>
          </w:p>
        </w:tc>
      </w:tr>
      <w:tr w:rsidR="001C3433" w:rsidTr="00660B5D">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顾问费用超过500万但不超过1000万港元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市政工程设计行业乙级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承担本行业中、小型建设工程项目的主体工程及其配套工程的设计业务。</w:t>
            </w:r>
          </w:p>
        </w:tc>
      </w:tr>
      <w:tr w:rsidR="001C3433" w:rsidTr="00660B5D">
        <w:trPr>
          <w:trHeight w:val="427"/>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第三组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顾问费用超过1000万港元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市政工程设计</w:t>
            </w:r>
            <w:proofErr w:type="gramStart"/>
            <w:r>
              <w:rPr>
                <w:rFonts w:ascii="宋体" w:hAnsi="宋体" w:cs="宋体" w:hint="eastAsia"/>
                <w:szCs w:val="21"/>
              </w:rPr>
              <w:t>行业甲级</w:t>
            </w:r>
            <w:proofErr w:type="gramEnd"/>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承担本行业建设工程项目主体工程及其配套工程的设计业务，其规模不受限制。</w:t>
            </w:r>
          </w:p>
        </w:tc>
      </w:tr>
      <w:tr w:rsidR="001C3433" w:rsidTr="00660B5D">
        <w:trPr>
          <w:trHeight w:val="744"/>
        </w:trPr>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排水及污水</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顾问费用不超过500万港元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排水工程设计专业丙级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承担本专业小型建设工程项目的主体工程及其配套工程的设计业务。</w:t>
            </w:r>
          </w:p>
        </w:tc>
      </w:tr>
      <w:tr w:rsidR="001C3433" w:rsidTr="00660B5D">
        <w:trPr>
          <w:trHeight w:val="744"/>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顾问费用超过500万但不超过1000万港元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排水工程设计专业乙级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承担本专业中、小型建设工程项目的主体工程及其配套工程的设计业务。</w:t>
            </w:r>
          </w:p>
        </w:tc>
      </w:tr>
      <w:tr w:rsidR="001C3433" w:rsidTr="00660B5D">
        <w:trPr>
          <w:trHeight w:val="744"/>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第三组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顾问费用超过1000万港元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排水工程设计</w:t>
            </w:r>
            <w:proofErr w:type="gramStart"/>
            <w:r>
              <w:rPr>
                <w:rFonts w:ascii="宋体" w:hAnsi="宋体" w:cs="宋体" w:hint="eastAsia"/>
                <w:szCs w:val="21"/>
              </w:rPr>
              <w:t>专业甲级</w:t>
            </w:r>
            <w:proofErr w:type="gramEnd"/>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承担本专业建设工程项目主体工程及其配套工程的设计业务，其规模不受限制。</w:t>
            </w:r>
          </w:p>
        </w:tc>
      </w:tr>
      <w:tr w:rsidR="001C3433" w:rsidTr="00660B5D">
        <w:trPr>
          <w:trHeight w:val="744"/>
        </w:trPr>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机电</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顾问费用不超过500万港元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机电设计事务所甲级资质（顾问费用不超过500万港元）</w:t>
            </w:r>
          </w:p>
        </w:tc>
        <w:tc>
          <w:tcPr>
            <w:tcW w:w="2959"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1.可以承接所有等级的各类建筑工程（包括建筑智能化设计）方案设计、初步设计及施工图设计中的机电设备专业的设计与技术服务。</w:t>
            </w:r>
          </w:p>
          <w:p w:rsidR="001C3433" w:rsidRDefault="001C3433" w:rsidP="00660B5D">
            <w:pPr>
              <w:spacing w:line="0" w:lineRule="atLeast"/>
              <w:rPr>
                <w:rFonts w:ascii="宋体" w:hAnsi="宋体" w:cs="宋体"/>
                <w:szCs w:val="21"/>
              </w:rPr>
            </w:pPr>
            <w:r>
              <w:rPr>
                <w:rFonts w:ascii="宋体" w:hAnsi="宋体" w:cs="宋体" w:hint="eastAsia"/>
                <w:szCs w:val="21"/>
              </w:rPr>
              <w:t>2.取得设计事务所资质的企业可以根据工程的类别和性质作为承包方对建筑工程项目的设计实行总包。承包方应当自行完成建筑工程本专业的设计业务，并在保证整个建筑工程项目完整性的前提下，经发包方同意，将其他部分专业设计业务发包给具有相应资质的分包方。</w:t>
            </w:r>
          </w:p>
        </w:tc>
      </w:tr>
      <w:tr w:rsidR="001C3433" w:rsidTr="00660B5D">
        <w:trPr>
          <w:trHeight w:val="744"/>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顾问费用超过500万港元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机电设计事务所甲级资质</w:t>
            </w:r>
          </w:p>
        </w:tc>
        <w:tc>
          <w:tcPr>
            <w:tcW w:w="2959" w:type="dxa"/>
            <w:vMerge/>
            <w:vAlign w:val="center"/>
          </w:tcPr>
          <w:p w:rsidR="001C3433" w:rsidRDefault="001C3433" w:rsidP="00660B5D">
            <w:pPr>
              <w:spacing w:line="0" w:lineRule="atLeast"/>
              <w:rPr>
                <w:rFonts w:ascii="宋体" w:hAnsi="宋体" w:cs="宋体"/>
                <w:szCs w:val="21"/>
              </w:rPr>
            </w:pPr>
          </w:p>
        </w:tc>
      </w:tr>
      <w:tr w:rsidR="001C3433" w:rsidTr="00660B5D">
        <w:trPr>
          <w:trHeight w:val="744"/>
        </w:trPr>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环境</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顾问费用不超过500万港元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环境工程设计专项乙级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可承担中型以下规模环境工程（含建筑物和非标准设备等）专项设计。</w:t>
            </w:r>
          </w:p>
        </w:tc>
      </w:tr>
      <w:tr w:rsidR="001C3433" w:rsidTr="00660B5D">
        <w:trPr>
          <w:trHeight w:val="744"/>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顾问费用超过500万港元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环境工程设计专项甲级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可承担各类环境工程（含建筑物和非标准设备等）专项设计，规模不受限制。</w:t>
            </w:r>
          </w:p>
        </w:tc>
      </w:tr>
      <w:tr w:rsidR="001C3433" w:rsidTr="00660B5D">
        <w:trPr>
          <w:trHeight w:val="744"/>
        </w:trPr>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岩土和斜坡</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顾问费用不超过500万港元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工程勘察岩土工程专业乙级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可承担本专业勘察中、小型工程项目。岩土工程是指1.岩土工程勘察，2.岩土工程设计，3.岩土工程测试、监测、检测，4.岩土工程咨询、监理，5.岩土工程治理。</w:t>
            </w:r>
          </w:p>
        </w:tc>
      </w:tr>
      <w:tr w:rsidR="001C3433" w:rsidTr="00660B5D">
        <w:trPr>
          <w:trHeight w:val="744"/>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顾问费用超过500万但不超过1000万港元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工程勘察岩土工程专业乙级</w:t>
            </w:r>
          </w:p>
        </w:tc>
        <w:tc>
          <w:tcPr>
            <w:tcW w:w="2959" w:type="dxa"/>
            <w:vAlign w:val="center"/>
          </w:tcPr>
          <w:p w:rsidR="001C3433" w:rsidRDefault="001C3433" w:rsidP="00660B5D">
            <w:pPr>
              <w:spacing w:line="0" w:lineRule="atLeast"/>
              <w:rPr>
                <w:rFonts w:ascii="宋体" w:hAnsi="宋体" w:cs="宋体"/>
                <w:b/>
                <w:bCs/>
                <w:szCs w:val="21"/>
              </w:rPr>
            </w:pPr>
            <w:r>
              <w:rPr>
                <w:rFonts w:ascii="宋体" w:hAnsi="宋体" w:cs="宋体" w:hint="eastAsia"/>
                <w:szCs w:val="21"/>
              </w:rPr>
              <w:t>可承担本专业勘察中、小型工程项目。岩土工程是指1.岩土工程勘察，2.岩土工程设计，</w:t>
            </w:r>
            <w:r>
              <w:rPr>
                <w:rFonts w:ascii="宋体" w:hAnsi="宋体" w:cs="宋体" w:hint="eastAsia"/>
                <w:szCs w:val="21"/>
              </w:rPr>
              <w:lastRenderedPageBreak/>
              <w:t>3.岩土工程测试、监测、检测，4.岩土工程咨询、监理，5.岩土工程治理。</w:t>
            </w:r>
          </w:p>
        </w:tc>
      </w:tr>
      <w:tr w:rsidR="001C3433" w:rsidTr="00660B5D">
        <w:trPr>
          <w:trHeight w:val="744"/>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第三组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顾问费用超过1000万港元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工程勘察岩土工程</w:t>
            </w:r>
            <w:proofErr w:type="gramStart"/>
            <w:r>
              <w:rPr>
                <w:rFonts w:ascii="宋体" w:hAnsi="宋体" w:cs="宋体" w:hint="eastAsia"/>
                <w:szCs w:val="21"/>
              </w:rPr>
              <w:t>专业甲级</w:t>
            </w:r>
            <w:proofErr w:type="gramEnd"/>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可承担本专业勘察业务范围。岩土工程是指1.岩土工程勘察，2.岩土工程设计，3.岩土工程测试、监测、检测，4.岩土工程咨询、监理，5.岩土工程治理。</w:t>
            </w:r>
          </w:p>
        </w:tc>
      </w:tr>
      <w:tr w:rsidR="001C3433" w:rsidTr="00660B5D">
        <w:trPr>
          <w:trHeight w:val="744"/>
        </w:trPr>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道路及相关结构</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顾问费用不超过500万港元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道路工程设计专业丙级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承担本专业小型建设工程项目的主体工程及其配套工程的设计业务。</w:t>
            </w:r>
          </w:p>
        </w:tc>
      </w:tr>
      <w:tr w:rsidR="001C3433" w:rsidTr="00660B5D">
        <w:trPr>
          <w:trHeight w:val="744"/>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顾问费用超过500万但不超过1000万港元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道路工程设计专业乙级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承担本专业中、小型建设工程项目的主体工程及其配套工程的设计业务。</w:t>
            </w:r>
          </w:p>
        </w:tc>
      </w:tr>
      <w:tr w:rsidR="001C3433" w:rsidTr="00660B5D">
        <w:trPr>
          <w:trHeight w:val="744"/>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第三组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顾问费用超过1000万港元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道路工程设计</w:t>
            </w:r>
            <w:proofErr w:type="gramStart"/>
            <w:r>
              <w:rPr>
                <w:rFonts w:ascii="宋体" w:hAnsi="宋体" w:cs="宋体" w:hint="eastAsia"/>
                <w:szCs w:val="21"/>
              </w:rPr>
              <w:t>专业甲级</w:t>
            </w:r>
            <w:proofErr w:type="gramEnd"/>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承担本专业建设工程项目主体工程及其配套工程的设计业务，其规模不受限制。</w:t>
            </w:r>
          </w:p>
        </w:tc>
      </w:tr>
      <w:tr w:rsidR="001C3433" w:rsidTr="00660B5D">
        <w:trPr>
          <w:trHeight w:val="744"/>
        </w:trPr>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交通运输</w:t>
            </w: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顾问费用不超过500万港元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公共交通工程设计专业乙级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承担本专业中、小型建设工程项目的主体工程及其配套工程的设计业务。</w:t>
            </w:r>
          </w:p>
        </w:tc>
      </w:tr>
      <w:tr w:rsidR="001C3433" w:rsidTr="00660B5D">
        <w:trPr>
          <w:trHeight w:val="744"/>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顾问费用超过500万港元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公共交通工程设计</w:t>
            </w:r>
            <w:proofErr w:type="gramStart"/>
            <w:r>
              <w:rPr>
                <w:rFonts w:ascii="宋体" w:hAnsi="宋体" w:cs="宋体" w:hint="eastAsia"/>
                <w:szCs w:val="21"/>
              </w:rPr>
              <w:t>专业甲级</w:t>
            </w:r>
            <w:proofErr w:type="gramEnd"/>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承担本专业建设工程项目主体工程及其配套工程的设计业务，其规模不受限制。</w:t>
            </w:r>
          </w:p>
        </w:tc>
      </w:tr>
      <w:tr w:rsidR="001C3433" w:rsidTr="00660B5D">
        <w:trPr>
          <w:trHeight w:val="744"/>
        </w:trPr>
        <w:tc>
          <w:tcPr>
            <w:tcW w:w="762" w:type="dxa"/>
            <w:vMerge w:val="restart"/>
            <w:vAlign w:val="center"/>
          </w:tcPr>
          <w:p w:rsidR="001C3433" w:rsidRDefault="001C3433" w:rsidP="00660B5D">
            <w:pPr>
              <w:spacing w:line="0" w:lineRule="atLeast"/>
              <w:rPr>
                <w:rFonts w:ascii="宋体" w:hAnsi="宋体" w:cs="宋体"/>
                <w:szCs w:val="21"/>
              </w:rPr>
            </w:pPr>
            <w:r>
              <w:rPr>
                <w:rFonts w:ascii="宋体" w:hAnsi="宋体" w:cs="宋体" w:hint="eastAsia"/>
                <w:szCs w:val="21"/>
              </w:rPr>
              <w:t>水</w:t>
            </w:r>
            <w:proofErr w:type="gramStart"/>
            <w:r>
              <w:rPr>
                <w:rFonts w:ascii="宋体" w:hAnsi="宋体" w:cs="宋体" w:hint="eastAsia"/>
                <w:szCs w:val="21"/>
              </w:rPr>
              <w:t>务</w:t>
            </w:r>
            <w:proofErr w:type="gramEnd"/>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第一组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顾问费用不超过500万港元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给/排水工程设计专业丙级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承担本专业小型建设工程项目的主体工程及其配套工程的设计业务。</w:t>
            </w:r>
          </w:p>
        </w:tc>
      </w:tr>
      <w:tr w:rsidR="001C3433" w:rsidTr="00660B5D">
        <w:trPr>
          <w:trHeight w:val="744"/>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第二组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顾问费用超过500万但不超过1000万港元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给/排水工程设计专业乙级</w:t>
            </w:r>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承担本专业中、小型建设工程项目的主体工程及其配套工程的设计业务。</w:t>
            </w:r>
          </w:p>
        </w:tc>
      </w:tr>
      <w:tr w:rsidR="001C3433" w:rsidTr="00660B5D">
        <w:trPr>
          <w:trHeight w:val="744"/>
        </w:trPr>
        <w:tc>
          <w:tcPr>
            <w:tcW w:w="762" w:type="dxa"/>
            <w:vMerge/>
            <w:vAlign w:val="center"/>
          </w:tcPr>
          <w:p w:rsidR="001C3433" w:rsidRDefault="001C3433" w:rsidP="00660B5D">
            <w:pPr>
              <w:spacing w:line="0" w:lineRule="atLeast"/>
              <w:rPr>
                <w:rFonts w:ascii="宋体" w:hAnsi="宋体" w:cs="宋体"/>
                <w:szCs w:val="21"/>
              </w:rPr>
            </w:pPr>
          </w:p>
        </w:tc>
        <w:tc>
          <w:tcPr>
            <w:tcW w:w="108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第三组</w:t>
            </w:r>
          </w:p>
        </w:tc>
        <w:tc>
          <w:tcPr>
            <w:tcW w:w="255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顾问费用超过1000万港元</w:t>
            </w:r>
          </w:p>
        </w:tc>
        <w:tc>
          <w:tcPr>
            <w:tcW w:w="1710"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给/排水工程设计</w:t>
            </w:r>
            <w:proofErr w:type="gramStart"/>
            <w:r>
              <w:rPr>
                <w:rFonts w:ascii="宋体" w:hAnsi="宋体" w:cs="宋体" w:hint="eastAsia"/>
                <w:szCs w:val="21"/>
              </w:rPr>
              <w:t>专业甲级</w:t>
            </w:r>
            <w:proofErr w:type="gramEnd"/>
          </w:p>
        </w:tc>
        <w:tc>
          <w:tcPr>
            <w:tcW w:w="2959" w:type="dxa"/>
            <w:vAlign w:val="center"/>
          </w:tcPr>
          <w:p w:rsidR="001C3433" w:rsidRDefault="001C3433" w:rsidP="00660B5D">
            <w:pPr>
              <w:spacing w:line="0" w:lineRule="atLeast"/>
              <w:rPr>
                <w:rFonts w:ascii="宋体" w:hAnsi="宋体" w:cs="宋体"/>
                <w:szCs w:val="21"/>
              </w:rPr>
            </w:pPr>
            <w:r>
              <w:rPr>
                <w:rFonts w:ascii="宋体" w:hAnsi="宋体" w:cs="宋体" w:hint="eastAsia"/>
                <w:szCs w:val="21"/>
              </w:rPr>
              <w:t>承担本专业建设工程项目主体工程及其配套工程的设计业务，其规模不受限制。</w:t>
            </w:r>
          </w:p>
        </w:tc>
      </w:tr>
    </w:tbl>
    <w:p w:rsidR="001C3433" w:rsidRDefault="001C3433" w:rsidP="001C3433">
      <w:pPr>
        <w:spacing w:line="560" w:lineRule="exact"/>
        <w:rPr>
          <w:rFonts w:ascii="仿宋_GB2312" w:eastAsia="仿宋_GB2312" w:hAnsi="仿宋_GB2312" w:cs="仿宋_GB2312"/>
          <w:sz w:val="32"/>
          <w:szCs w:val="32"/>
        </w:rPr>
      </w:pPr>
    </w:p>
    <w:p w:rsidR="001C3433" w:rsidRDefault="001C3433" w:rsidP="001C3433">
      <w:pPr>
        <w:spacing w:line="560" w:lineRule="exact"/>
        <w:rPr>
          <w:rFonts w:ascii="仿宋_GB2312" w:eastAsia="仿宋_GB2312" w:hAnsi="仿宋_GB2312" w:cs="仿宋_GB2312"/>
          <w:sz w:val="32"/>
          <w:szCs w:val="32"/>
        </w:rPr>
      </w:pPr>
    </w:p>
    <w:p w:rsidR="00D221C5" w:rsidRPr="001C3433" w:rsidRDefault="00D221C5" w:rsidP="001C3433"/>
    <w:sectPr w:rsidR="00D221C5" w:rsidRPr="001C3433" w:rsidSect="00D221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AE3" w:rsidRDefault="009C2AE3" w:rsidP="001D6232">
      <w:r>
        <w:separator/>
      </w:r>
    </w:p>
  </w:endnote>
  <w:endnote w:type="continuationSeparator" w:id="0">
    <w:p w:rsidR="009C2AE3" w:rsidRDefault="009C2AE3" w:rsidP="001D62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AE3" w:rsidRDefault="009C2AE3" w:rsidP="001D6232">
      <w:r>
        <w:separator/>
      </w:r>
    </w:p>
  </w:footnote>
  <w:footnote w:type="continuationSeparator" w:id="0">
    <w:p w:rsidR="009C2AE3" w:rsidRDefault="009C2AE3" w:rsidP="001D62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232"/>
    <w:rsid w:val="001C3433"/>
    <w:rsid w:val="001D6232"/>
    <w:rsid w:val="00290EC6"/>
    <w:rsid w:val="0070470C"/>
    <w:rsid w:val="007C3981"/>
    <w:rsid w:val="009146DD"/>
    <w:rsid w:val="00926F09"/>
    <w:rsid w:val="009C2AE3"/>
    <w:rsid w:val="00D221C5"/>
    <w:rsid w:val="00DC7526"/>
    <w:rsid w:val="00E70AF0"/>
    <w:rsid w:val="00F21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32"/>
    <w:pPr>
      <w:widowControl w:val="0"/>
      <w:spacing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232"/>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6232"/>
    <w:rPr>
      <w:sz w:val="18"/>
      <w:szCs w:val="18"/>
    </w:rPr>
  </w:style>
  <w:style w:type="paragraph" w:styleId="a4">
    <w:name w:val="footer"/>
    <w:basedOn w:val="a"/>
    <w:link w:val="Char0"/>
    <w:uiPriority w:val="99"/>
    <w:semiHidden/>
    <w:unhideWhenUsed/>
    <w:rsid w:val="001D6232"/>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D62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2508</Characters>
  <Application>Microsoft Office Word</Application>
  <DocSecurity>0</DocSecurity>
  <Lines>20</Lines>
  <Paragraphs>5</Paragraphs>
  <ScaleCrop>false</ScaleCrop>
  <Company>Microsoft</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严远乐</dc:creator>
  <cp:keywords/>
  <dc:description/>
  <cp:lastModifiedBy>严远乐</cp:lastModifiedBy>
  <cp:revision>4</cp:revision>
  <dcterms:created xsi:type="dcterms:W3CDTF">2021-02-08T02:53:00Z</dcterms:created>
  <dcterms:modified xsi:type="dcterms:W3CDTF">2021-02-08T02:55:00Z</dcterms:modified>
</cp:coreProperties>
</file>