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3"/>
        <w:tblW w:w="0" w:type="auto"/>
        <w:jc w:val="center"/>
        <w:tblBorders>
          <w:top w:val="none" w:color="auto" w:sz="0" w:space="0"/>
          <w:left w:val="none" w:color="auto" w:sz="0" w:space="0"/>
          <w:bottom w:val="thinThickMediumGap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none" w:color="auto" w:sz="0" w:space="0"/>
            <w:left w:val="none" w:color="auto" w:sz="0" w:space="0"/>
            <w:bottom w:val="thinThickMediumGap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9624" w:type="dxa"/>
            <w:noWrap w:val="0"/>
            <w:vAlign w:val="top"/>
          </w:tcPr>
          <w:p>
            <w:pPr>
              <w:pStyle w:val="3"/>
              <w:numPr>
                <w:ilvl w:val="0"/>
                <w:numId w:val="0"/>
              </w:numPr>
              <w:autoSpaceDE w:val="0"/>
              <w:autoSpaceDN w:val="0"/>
              <w:snapToGrid w:val="0"/>
              <w:rPr>
                <w:rFonts w:ascii="Times New Roman" w:hAnsi="Times New Roman"/>
                <w:b/>
                <w:bCs/>
                <w:color w:val="FF0000"/>
                <w:spacing w:val="60"/>
                <w:w w:val="90"/>
                <w:kern w:val="72"/>
                <w:sz w:val="72"/>
                <w:szCs w:val="72"/>
              </w:rPr>
            </w:pPr>
            <w:bookmarkStart w:id="0" w:name="xxqqWholeArea"/>
            <w:r>
              <w:rPr>
                <w:rFonts w:ascii="Times New Roman" w:hAnsi="Times New Roman" w:eastAsia="方正小标宋简体"/>
                <w:b/>
                <w:color w:val="FF0000"/>
                <w:spacing w:val="60"/>
                <w:w w:val="90"/>
                <w:kern w:val="72"/>
                <w:sz w:val="72"/>
                <w:szCs w:val="72"/>
              </w:rPr>
              <w:t>东莞市住房和城乡建设局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960" w:leftChars="-30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spacing w:line="640" w:lineRule="exact"/>
        <w:ind w:left="-960" w:leftChars="-300" w:right="-76" w:rightChars="-24" w:firstLine="640" w:firstLineChars="200"/>
        <w:jc w:val="righ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函〔20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cs="Times New Roman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1" w:name="OLE_LINK1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关于对市人大代表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李汉容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提出的《关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于支持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莞城街道探索老旧小区危旧房改造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新模式、新路径的建议》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的答复</w:t>
      </w:r>
      <w:bookmarkEnd w:id="1"/>
    </w:p>
    <w:p>
      <w:pPr>
        <w:adjustRightInd w:val="0"/>
        <w:snapToGrid w:val="0"/>
        <w:spacing w:line="580" w:lineRule="exact"/>
        <w:contextualSpacing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contextualSpacing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尊敬的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李汉容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市人大常委会代表工委将您提出的《关于支持莞城街道探索老旧小区危旧房改造新模式、新路径的建议》转交我局办理。收到建议后，我局迅速进行研究处理，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并综合各会办部门意见，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现就您提出的建议答复如下：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一、关于建议所涉事项的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落实情况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）关于“鼓励开展自主拆建更新先行先试”的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建议回复。</w:t>
      </w:r>
      <w:r>
        <w:rPr>
          <w:rFonts w:hint="default" w:ascii="Times New Roman" w:hAnsi="Times New Roman" w:cs="Times New Roman"/>
          <w:color w:val="auto"/>
        </w:rPr>
        <w:t>您提出的“参考广州等城市做法，以‘居民自筹为主、政府补贴为辅’的原则，在莞城选取试点鼓励自主拆建更新”的建议，</w:t>
      </w:r>
      <w:r>
        <w:rPr>
          <w:rFonts w:hint="default" w:ascii="Times New Roman" w:hAnsi="Times New Roman" w:cs="Times New Roman"/>
          <w:color w:val="auto"/>
          <w:lang w:eastAsia="zh-CN"/>
        </w:rPr>
        <w:t>具有很强的针对性和指导性。</w:t>
      </w:r>
      <w:r>
        <w:rPr>
          <w:rFonts w:hint="default" w:ascii="Times New Roman" w:hAnsi="Times New Roman" w:cs="Times New Roman"/>
          <w:color w:val="auto"/>
        </w:rPr>
        <w:t>目前，我市正在</w:t>
      </w:r>
      <w:r>
        <w:rPr>
          <w:rFonts w:hint="default" w:ascii="Times New Roman" w:hAnsi="Times New Roman" w:cs="Times New Roman"/>
          <w:color w:val="auto"/>
          <w:lang w:eastAsia="zh-CN"/>
        </w:rPr>
        <w:t>锚定“和美宜居”的现代化新城市目标，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积极探索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危旧房自主更新、原拆原建</w:t>
      </w:r>
      <w:r>
        <w:rPr>
          <w:rFonts w:hint="default" w:ascii="Times New Roman" w:hAnsi="Times New Roman" w:cs="Times New Roman"/>
          <w:color w:val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auto"/>
          <w:lang w:eastAsia="zh-CN"/>
        </w:rPr>
        <w:t>一是开展调查研究。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多次召开专题会议并前往广州实地调研， 重点梳理了广州、杭州、上海、武汉老旧住房自主更新实践，系统总结经验做法，分析改造资金来源。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auto"/>
          <w:lang w:eastAsia="zh-CN"/>
        </w:rPr>
        <w:t>二是完善政策体系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起草《东莞市城镇危旧房改造实施办法》，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探索研究通过免办供地手续、适度增加建筑面积、增配服务设施（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增量不超过30%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）、受客观条件限制允许按不低于现状的技术标准执行、强化补助资金支持、联合审批等政策措施，构建“居民自筹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+专项资金+政府补贴+社会投资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多元投融资方式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，鼓励市场主体通过投资、参股、运营等方式参与改造，构建可持续的投入机制，推动危旧房原拆原建、连片改造，同步完善使用功能和配套设施、增加公共服务设施，建设好房子、好小区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，目前正在征求意见阶段。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auto"/>
          <w:lang w:eastAsia="zh-CN"/>
        </w:rPr>
        <w:t>三是推进试点先行。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莞城街道作为老城区，存在老旧小区数量多、分布集中、危旧房存量多的情况，积极推动老旧小区改造及老旧住房自主更新。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2021年以来，莞城街道已开展了第二教师村、市桥社区草塘小区、东资老旧小区等老旧小区及宿舍楼改造。目前，莞城街道全力推进旧房管所宿舍自主更新试点项目，计划拆除原4栋建筑后原址新建1栋商住楼，按照不超30%增加建筑面积，同步增设服务设施，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初步估算</w:t>
      </w:r>
      <w:r>
        <w:rPr>
          <w:rFonts w:hint="default" w:ascii="Times New Roman" w:hAnsi="Times New Roman" w:cs="Times New Roman"/>
          <w:kern w:val="2"/>
          <w:sz w:val="32"/>
          <w:szCs w:val="32"/>
          <w:highlight w:val="none"/>
          <w:lang w:val="en-US" w:eastAsia="zh-CN" w:bidi="ar"/>
        </w:rPr>
        <w:t>新建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建筑面积</w:t>
      </w:r>
      <w:r>
        <w:rPr>
          <w:rFonts w:hint="default" w:ascii="Times New Roman" w:hAnsi="Times New Roman" w:cs="Times New Roman"/>
          <w:kern w:val="2"/>
          <w:sz w:val="32"/>
          <w:szCs w:val="32"/>
          <w:highlight w:val="none"/>
          <w:lang w:val="en-US" w:eastAsia="zh-CN" w:bidi="ar"/>
        </w:rPr>
        <w:t>约6550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平方米，总投资约</w:t>
      </w:r>
      <w:r>
        <w:rPr>
          <w:rFonts w:hint="default" w:ascii="Times New Roman" w:hAnsi="Times New Roman" w:cs="Times New Roman"/>
          <w:kern w:val="2"/>
          <w:sz w:val="32"/>
          <w:szCs w:val="32"/>
          <w:highlight w:val="none"/>
          <w:lang w:val="en-US" w:eastAsia="zh-CN" w:bidi="ar"/>
        </w:rPr>
        <w:t>3260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万元</w:t>
      </w:r>
      <w:r>
        <w:rPr>
          <w:rFonts w:hint="default" w:ascii="Times New Roman" w:hAnsi="Times New Roman" w:cs="Times New Roman"/>
          <w:kern w:val="2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试点项目的探索推进，为我市老旧住房自主更新提供坚实实践基础。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）关于“统筹联动改造”“争取各类上级资金”的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建议回复。</w:t>
      </w:r>
      <w:r>
        <w:rPr>
          <w:rFonts w:hint="default" w:ascii="Times New Roman" w:hAnsi="Times New Roman" w:cs="Times New Roman"/>
          <w:color w:val="auto"/>
          <w:lang w:val="en-US" w:eastAsia="zh-CN"/>
        </w:rPr>
        <w:t>您提出的“将老旧小区改造与周边城市基础设施改造统筹联动改造”、“提高镇街争取各类上级资金的成功率”的建议，是我市相关工作的重点方向。目前，我市已积极开展老旧小区改造、城市危旧房改造工作。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>一是推动片区联动、连片改造。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2025年12月，我局主动对接市水务局、市城市管理综合执法局、市工业和信息化局、市消防救援局、市民政局等职能部门，推动各行业部门立足本职，主动排查涉及老旧小区的改造内容，与各镇街（园区）紧密配合，共同摸排改造需求，叠加各行业支持政策，积极推进相对集中的多个小区（包括集中分布的单栋住宅楼）及周边片区联动、连片实施改造，在片区范围内统筹基础设施、服务设施、公共空间共建共享。</w:t>
      </w:r>
      <w:r>
        <w:rPr>
          <w:rFonts w:hint="default" w:ascii="Times New Roman" w:hAnsi="Times New Roman" w:cs="Times New Roman"/>
          <w:b w:val="0"/>
          <w:bCs w:val="0"/>
          <w:color w:val="auto"/>
          <w:szCs w:val="32"/>
          <w:highlight w:val="none"/>
          <w:lang w:val="en-US" w:eastAsia="zh-CN"/>
        </w:rPr>
        <w:t>自2025年起，已谋划连片改造项目5个。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>二是加强业务指导、积极争取资金支持。</w:t>
      </w:r>
      <w:r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各镇街（园区）老旧小区改造、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危旧房改造工作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eastAsia="zh-CN"/>
        </w:rPr>
        <w:t>常态化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予以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技术帮扶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业务指导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lang w:val="en-US" w:eastAsia="zh-CN"/>
        </w:rPr>
        <w:t>组织开展城市更新领域项目谋划储备和政策性资金申报培训，指导各镇街（园区）提前谋划项目，掌握中央财政补助、中央预算内投资等上级资金的申报路径和要求，提升项目包装质量和申报成功率。印发《东莞市城市危旧房改造工作指引》，指导各镇街（园区）对纳入年度城市危旧房改造计划的项目，积极申请中央和省级财政城镇保障性安居工程补助资金，强化资金监管，确保专款专用。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“十四五”期间，我局牵头推动153个小区纳入我市老旧小区改造计划任务，累计已获得上级资金约1.91亿元，其中，莞城街道累计27个老旧小区已纳入改造任务，获得上级补助资金0.36亿元，占比19%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lang w:val="en-US" w:eastAsia="zh-CN"/>
        </w:rPr>
        <w:t>2024年至今，全市城市危旧房改造项目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开工1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8套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cs="Times New Roman"/>
          <w:color w:val="auto"/>
          <w:lang w:val="en-US" w:eastAsia="zh-CN"/>
        </w:rPr>
        <w:t>累计获得上级补助资金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7245.1</w:t>
      </w:r>
      <w:r>
        <w:rPr>
          <w:rFonts w:hint="default" w:ascii="Times New Roman" w:hAnsi="Times New Roman" w:cs="Times New Roman"/>
          <w:color w:val="auto"/>
          <w:lang w:val="en-US" w:eastAsia="zh-CN"/>
        </w:rPr>
        <w:t>万元，其中，莞城街道已开工450套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计划开工183套</w:t>
      </w:r>
      <w:r>
        <w:rPr>
          <w:rFonts w:hint="default" w:ascii="Times New Roman" w:hAnsi="Times New Roman" w:cs="Times New Roman"/>
          <w:color w:val="auto"/>
          <w:lang w:val="en-US" w:eastAsia="zh-CN"/>
        </w:rPr>
        <w:t>，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获得上级补助资金2941.1万元，占比40.6%</w:t>
      </w:r>
      <w:r>
        <w:rPr>
          <w:rFonts w:hint="default" w:ascii="Times New Roman" w:hAnsi="Times New Roman" w:cs="Times New Roman"/>
          <w:color w:val="auto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）关于“充分发挥市镇财政‘兜底’作用”的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建议回复。</w:t>
      </w:r>
      <w:r>
        <w:rPr>
          <w:rFonts w:hint="default" w:ascii="Times New Roman" w:hAnsi="Times New Roman" w:cs="Times New Roman"/>
          <w:color w:val="auto"/>
          <w:lang w:val="en-US" w:eastAsia="zh-CN"/>
        </w:rPr>
        <w:t>您提出的“积极探索由政府专项债兜底”、“在分摊比例上向改造任务较重、财政能力较弱的镇街适当倾斜”的建议，是减轻镇街融资压力，推动改造工作走深走实的路径。目前，我市在现有政策基础上，持续优化支持方式并探索金融创新。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>一是现有财政补助政策持续发力。</w:t>
      </w:r>
      <w:r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  <w:t>2022年，印发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《东莞市老旧小区改造工作实施方案》，建立改造资金政府与居民、社会力量合理共担机制。一方面引导居民可通过直接出资、让渡小区公共收益等方式落实、拓宽筹集资金渠道，吸引社会资本参与改造；另一方面科学实施财政资金支持，对供水、供电、供气等涉及社会公共利益的改造内容按改造实施费用 80%标准（连同上级补助资金）进行补助，对其他类改造内容按改造实施费用50%的标准（连同上级补助资金）进行补助，财政补助总额控制在平均每户不超过2万元。补助资金优先使用上级资金，不足部分由市、镇两级财政按3∶7比例分担。2023年，经市政府同意，财政补助总额户均标准提高至3万元。按照市政府最新印发的《东莞市深化“十五五”财政体制改革实施意见》，对于老旧小区项目仍沿用市镇 3:7 比例分担。</w:t>
      </w:r>
      <w:r>
        <w:rPr>
          <w:rFonts w:hint="default" w:ascii="Times New Roman" w:hAnsi="Times New Roman" w:cs="Times New Roman"/>
          <w:b/>
          <w:bCs/>
          <w:color w:val="auto"/>
          <w:lang w:val="en-US" w:eastAsia="zh-CN"/>
        </w:rPr>
        <w:t>二是积极申报使用地方政府专项债券资金。</w:t>
      </w:r>
      <w:r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  <w:t>2024年，南城、莞城试点及连片改造项目共取得专项债券3.42亿元。2025年，南城、莞城、樟木头、石龙城镇老旧小区改造项目共取得专项债券2.18亿元。2026年，莞城、樟木头、石龙等镇街申报城镇老旧小区改造3个，申报需求3.57亿元，全部纳入省级储备库及第一批建议发行清单，涉及资金1.67亿元。截至目前，已安排发行0.82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关于莞城街道探索危旧房改造的支持措施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为支持莞城街道破解老旧住房改造困局，探索可复制、可推广的新模式、新路径，我们立足莞城实际，结合您的建议，从政策创新、资金保障、试点落地等方面，制定探索研究实施路径，全力推动危旧住房从“住有所居”向“住有宜居”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（一）政策创新：松绑赋能，构建改造政策体系</w:t>
      </w:r>
    </w:p>
    <w:p>
      <w:pPr>
        <w:pStyle w:val="2"/>
        <w:adjustRightInd w:val="0"/>
        <w:snapToGrid w:val="0"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一是出台政策指引，明确改造范围与流程。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eastAsia="zh-CN"/>
        </w:rPr>
        <w:t>年内研究出台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</w:rPr>
        <w:t>《东莞市城镇危旧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</w:rPr>
        <w:t>房改造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暂行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</w:rPr>
        <w:t>办法》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，明确改造范围（优先改造土地及用地手续完备、规划符合要求、权属清晰的原拆原建项目，其他项目统筹推进，适时纳入）、实施主体（产权人、自主更新委员会、业委会）、改造方式（维修加固、拆除重建）及改造流程（居民意愿征询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--方案编制--联合审查--施工验收--产权登记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），为改造工作提供政策依据。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shd w:val="clear" w:color="auto" w:fill="auto"/>
          <w:lang w:eastAsia="zh-CN"/>
        </w:rPr>
        <w:t>二是释放改造空间，突破用地与规划政策瓶颈。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重点研究优化用地与规划政策，包括允许成套化改造增加建筑面积、增设市政基础设施及公共服务设施，地上新增规模不超原建筑面积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30%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，增配服务设施面积不计容积率，免办供地手续、免补缴土地价款；支持改造与周边用地成片联动改造，鼓励整合相邻边角地、夹心地或插花地等零星用地，优先用于公共空间、配套设施建设；受条件限制允许建筑间距、日照、绿地等按不低于现状水平控制。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shd w:val="clear" w:color="auto" w:fill="auto"/>
          <w:lang w:eastAsia="zh-CN"/>
        </w:rPr>
        <w:t>三是凝聚改造共识，强化居民参与与权益保障。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建立“政府引导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+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业主自愿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+市场运作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”机制，引导产权人成立自主更新委员会，委托村（社区）、国有企业、物业企业等作为建设单位协调开展，全程参与方案制定、资金监管、工程管理，保障居民的知情权、参与权和监督权。</w:t>
      </w:r>
    </w:p>
    <w:p>
      <w:pPr>
        <w:pStyle w:val="2"/>
        <w:adjustRightInd w:val="0"/>
        <w:snapToGrid w:val="0"/>
        <w:spacing w:line="580" w:lineRule="exact"/>
        <w:ind w:left="0" w:leftChars="0" w:firstLine="640" w:firstLineChars="200"/>
        <w:jc w:val="both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（二）资金保障：多元筹资，破解改造资金难题</w:t>
      </w:r>
    </w:p>
    <w:p>
      <w:pPr>
        <w:pStyle w:val="2"/>
        <w:adjustRightInd w:val="0"/>
        <w:snapToGrid w:val="0"/>
        <w:spacing w:line="580" w:lineRule="exact"/>
        <w:ind w:left="0" w:leftChars="0" w:firstLine="640" w:firstLineChars="200"/>
        <w:jc w:val="both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一是政府资金托底，推动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补助资金叠加使用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中央预算内投资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方面，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支持C/D级危房、非成套住房的拆除重建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，以及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配套基础设施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公服设施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（政府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国企权属住房最高可补助项目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总投资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的60%，私房仅补助基础设施、公服设施部分的60%），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同时支持城镇老旧小区内基础设施、公服设施等改造，（资金不超过符合投向项目总投资的60%）。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城镇保障性安居工程补助资金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方面，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支持城市危旧房拆除重建和抗震加固等支出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，其中，中央财政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补助约5.4万元/套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、省级财政补助约0.9万元/套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，不限房屋权属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上述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两类补助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资金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可叠加申请，最大限度发挥资金效益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二是多元主体共担，拓宽资金筹集渠道。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产权人按原建筑面积比例协商出资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，可提取住宅专项维修资金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，探索支持产权人及其配偶、父母、子女提取个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人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住房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公积金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支付家庭改造费用，资金仍不足的，产权人及其子女可申请住房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公积金贷款、专项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信贷、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融资等。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</w:rPr>
        <w:t>政府公房改造资金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</w:rPr>
        <w:t>纳入市、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vertAlign w:val="baseline"/>
        </w:rPr>
        <w:t>部门预算统筹解决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依法引入市场合作改造的，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鼓励市场主体通过直接投资、间接投资、参股、提供专业化物业服务、公共物业和车位运营等多种方式参与改造。</w:t>
      </w:r>
    </w:p>
    <w:p>
      <w:pPr>
        <w:pStyle w:val="2"/>
        <w:adjustRightInd w:val="0"/>
        <w:snapToGrid w:val="0"/>
        <w:spacing w:line="580" w:lineRule="exact"/>
        <w:ind w:left="0" w:leftChars="0" w:firstLine="640" w:firstLineChars="200"/>
        <w:jc w:val="both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（三）试点项目：先行先试，打造可复制示范样板</w:t>
      </w:r>
    </w:p>
    <w:p>
      <w:pPr>
        <w:pStyle w:val="2"/>
        <w:adjustRightInd w:val="0"/>
        <w:snapToGrid w:val="0"/>
        <w:spacing w:line="580" w:lineRule="exact"/>
        <w:ind w:left="0" w:leftChars="0" w:firstLine="640" w:firstLineChars="200"/>
        <w:jc w:val="both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我局全力支持莞城旧房管所宿舍自主更新试点工作，通过领导带队实地走访、市级部门专题讨论、打通沟通渠道等方式，及时掌握项目推进过程存在的堵点难点问题，解读政策要求、研究探讨实施路径。经梳理，该试点项目存在地块无用地手续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控规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用地性质（绿地与道路用地）与实际不符、公房无产权证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办公楼不属于危旧住房改造范围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及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需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eastAsia="zh-CN"/>
        </w:rPr>
        <w:t>资金支持等问题，涉及自然资源、住房城乡建设、发展改革、不动产登记等多个部门，且部分问题需要突破常规做法、出台改革措施解决。为此，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建议以一事一议方式，由莞城街道提请市政府协调各相关部门，制定针对性解决措施，共同推动试点项目顺利建设。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三、下一步计划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下一步，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我局将会同市自然资源局、市财政局，结合您的建议，立足部门职责，扎实推进各项工作，推动我市老旧小区危旧房改造工作更上新台阶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建立健全政策体系，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支持自主更新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。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研究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出台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《东莞市城镇危旧住房改造暂行办法》，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shd w:val="clear"/>
          <w:lang w:val="en-US" w:eastAsia="zh-CN"/>
        </w:rPr>
        <w:t>明确改造类型、实施程序，规范改造行为，强化改造全过程监管。加强政策宣传和指导，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指导镇街（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园区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）谋划原拆原建、自主更新项目，形成可复制、可推广的“东莞模式”，按照“谋划一批、研究一批、实施一批”的思路持续推进。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lang w:eastAsia="zh-CN"/>
        </w:rPr>
        <w:t>二是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lang w:val="en-US" w:eastAsia="zh-CN"/>
        </w:rPr>
        <w:t>动态摸排需求，持续开展改造。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聚焦居民反映强烈的基础设施老化、配套功能不完善等痛点难点，开展“先体检、后改造”行动，实施改造前进行老旧小区专项体检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依据体检结果，综合考虑建筑年限、安全现状、居民意愿及实施条件，科学确定改造优先次序与实施时序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重点改造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建成满20年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的老旧小区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。计划会财政部门研究，优化我市目前老旧小区改造财政补助政策，推动我市老旧小区改造项目做大做多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eastAsia="zh-CN"/>
        </w:rPr>
        <w:t>三是强化联动协调，统筹谋划布局。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加强住建、自然资源、财政等部门的横向协同，在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项目谋划、</w:t>
      </w:r>
      <w:r>
        <w:rPr>
          <w:rFonts w:hint="default" w:ascii="Times New Roman" w:hAnsi="Times New Roman" w:cs="Times New Roman"/>
          <w:color w:val="auto"/>
          <w:szCs w:val="32"/>
        </w:rPr>
        <w:t>规划指导、土地管理、审批服务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、资金申报</w:t>
      </w:r>
      <w:r>
        <w:rPr>
          <w:rFonts w:hint="default" w:ascii="Times New Roman" w:hAnsi="Times New Roman" w:cs="Times New Roman"/>
          <w:color w:val="auto"/>
          <w:szCs w:val="32"/>
        </w:rPr>
        <w:t>等环节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提供</w:t>
      </w:r>
      <w:r>
        <w:rPr>
          <w:rFonts w:hint="default" w:ascii="Times New Roman" w:hAnsi="Times New Roman" w:cs="Times New Roman"/>
          <w:color w:val="auto"/>
          <w:szCs w:val="32"/>
        </w:rPr>
        <w:t>支撑保障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，结合老旧小区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片区联动、连片改造工作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，指导镇街（园区）</w:t>
      </w:r>
      <w:r>
        <w:rPr>
          <w:rFonts w:hint="default" w:ascii="Times New Roman" w:hAnsi="Times New Roman" w:cs="Times New Roman"/>
          <w:color w:val="auto"/>
          <w:szCs w:val="32"/>
        </w:rPr>
        <w:t>做好周边道路交通、市政管网、公共服务设施、公共空间等城市基础设施</w:t>
      </w:r>
      <w:r>
        <w:rPr>
          <w:rFonts w:hint="default" w:ascii="Times New Roman" w:hAnsi="Times New Roman" w:cs="Times New Roman"/>
          <w:color w:val="auto"/>
          <w:szCs w:val="32"/>
          <w:lang w:val="en-US" w:eastAsia="zh-CN"/>
        </w:rPr>
        <w:t>的</w:t>
      </w:r>
      <w:r>
        <w:rPr>
          <w:rFonts w:hint="default" w:ascii="Times New Roman" w:hAnsi="Times New Roman" w:cs="Times New Roman"/>
          <w:color w:val="auto"/>
          <w:szCs w:val="32"/>
        </w:rPr>
        <w:t>提升</w:t>
      </w:r>
      <w:r>
        <w:rPr>
          <w:rFonts w:hint="default" w:ascii="Times New Roman" w:hAnsi="Times New Roman" w:cs="Times New Roman"/>
          <w:color w:val="auto"/>
          <w:szCs w:val="32"/>
          <w:lang w:val="en-US" w:eastAsia="zh-CN"/>
        </w:rPr>
        <w:t>工作，</w:t>
      </w:r>
      <w:r>
        <w:rPr>
          <w:rFonts w:hint="default" w:ascii="Times New Roman" w:hAnsi="Times New Roman" w:cs="Times New Roman"/>
          <w:color w:val="auto"/>
          <w:szCs w:val="32"/>
        </w:rPr>
        <w:t>一体谋划、统筹布局。</w:t>
      </w:r>
      <w:r>
        <w:rPr>
          <w:rFonts w:hint="default" w:ascii="Times New Roman" w:hAnsi="Times New Roman" w:cs="Times New Roman"/>
          <w:b/>
          <w:bCs/>
          <w:color w:val="auto"/>
          <w:szCs w:val="32"/>
          <w:lang w:eastAsia="zh-CN"/>
        </w:rPr>
        <w:t>四是主动谋划项目，有序协调推进。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莞城街道初步划定北隅、西隅、市桥、东正社区为重点实施区域，</w:t>
      </w:r>
      <w:r>
        <w:rPr>
          <w:rFonts w:hint="default" w:ascii="Times New Roman" w:hAnsi="Times New Roman" w:cs="Times New Roman"/>
          <w:color w:val="auto"/>
          <w:szCs w:val="32"/>
          <w:lang w:val="en-US" w:eastAsia="zh-CN"/>
        </w:rPr>
        <w:t>2026年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推动开工改造24个老旧小区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，推动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旧房管所宿舍项目实施原拆原建、自主更新改造。探索将老旧小区、危旧房结合道路交通、市政基础设施、社区配套设施等连同申报，形成“一揽子”改造项目包，提升项目综合效益和申报竞争力。积极申报中央预算内投资、专项债、财政补助等各类资金，全力争取政策和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以上是我局对《关于支持莞城街道探索老旧小区危旧房改造新模式、新路径的建议》的办理情况。衷心感谢您对我局工作的监督支持和帮助！如仍有疑问，可在收到函件后与我局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房安科蔡嘉明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同志联系，电话：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22671711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default" w:ascii="Times New Roman" w:hAnsi="Times New Roman" w:cs="Times New Roman"/>
          <w:color w:val="auto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default" w:ascii="Times New Roman" w:hAnsi="Times New Roman" w:cs="Times New Roman"/>
          <w:color w:val="auto"/>
        </w:rPr>
      </w:pPr>
      <w:bookmarkStart w:id="2" w:name="_GoBack"/>
      <w:bookmarkEnd w:id="2"/>
    </w:p>
    <w:p>
      <w:pPr>
        <w:adjustRightInd w:val="0"/>
        <w:snapToGrid w:val="0"/>
        <w:spacing w:line="580" w:lineRule="exac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                      </w:t>
      </w:r>
      <w:r>
        <w:rPr>
          <w:rFonts w:hint="default" w:ascii="Times New Roman" w:hAnsi="Times New Roman" w:cs="Times New Roman"/>
          <w:color w:val="auto"/>
        </w:rPr>
        <w:t>东莞市</w:t>
      </w:r>
      <w:r>
        <w:rPr>
          <w:rFonts w:hint="default" w:ascii="Times New Roman" w:hAnsi="Times New Roman" w:cs="Times New Roman"/>
          <w:color w:val="auto"/>
          <w:lang w:eastAsia="zh-CN"/>
        </w:rPr>
        <w:t>住房和城乡建设</w:t>
      </w:r>
      <w:r>
        <w:rPr>
          <w:rFonts w:hint="default" w:ascii="Times New Roman" w:hAnsi="Times New Roman" w:cs="Times New Roman"/>
          <w:color w:val="auto"/>
        </w:rPr>
        <w:t>局</w:t>
      </w:r>
    </w:p>
    <w:p>
      <w:pPr>
        <w:adjustRightInd w:val="0"/>
        <w:snapToGrid w:val="0"/>
        <w:spacing w:line="58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</w:rPr>
        <w:t>202</w:t>
      </w:r>
      <w:r>
        <w:rPr>
          <w:rFonts w:hint="default" w:ascii="Times New Roman" w:hAnsi="Times New Roman" w:cs="Times New Roman"/>
          <w:color w:val="auto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</w:rPr>
        <w:t>年</w:t>
      </w:r>
      <w:r>
        <w:rPr>
          <w:rFonts w:hint="default" w:ascii="Times New Roman" w:hAnsi="Times New Roman" w:cs="Times New Roman"/>
          <w:color w:val="auto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</w:rPr>
        <w:t>月</w:t>
      </w:r>
      <w:r>
        <w:rPr>
          <w:rFonts w:hint="default" w:ascii="Times New Roman" w:hAnsi="Times New Roman" w:cs="Times New Roman"/>
          <w:color w:val="auto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8</w:t>
      </w:r>
      <w:r>
        <w:rPr>
          <w:rFonts w:hint="default" w:ascii="Times New Roman" w:hAnsi="Times New Roman" w:cs="Times New Roman"/>
          <w:color w:val="auto"/>
        </w:rPr>
        <w:t>日</w:t>
      </w: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adjustRightInd w:val="0"/>
        <w:snapToGrid w:val="0"/>
        <w:spacing w:line="58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公开方式：</w:t>
      </w:r>
      <w:r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  <w:t>不公开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89" w:rightChars="278" w:firstLine="320" w:firstLineChars="100"/>
        <w:textAlignment w:val="auto"/>
        <w:rPr>
          <w:rFonts w:hint="eastAsia" w:ascii="Times New Roman" w:hAnsi="Times New Roman" w:eastAsia="仿宋_GB231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抄送：市人大常委会代表工委、市政府督查室</w:t>
      </w:r>
      <w:r>
        <w:rPr>
          <w:rFonts w:hint="eastAsia" w:ascii="Times New Roman" w:hAnsi="Times New Roman" w:cs="仿宋_GB2312"/>
          <w:sz w:val="32"/>
          <w:szCs w:val="32"/>
          <w:lang w:eastAsia="zh-CN"/>
        </w:rPr>
        <w:t>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304" w:gutter="0"/>
      <w:pgBorders w:display="firstPage">
        <w:bottom w:val="thickThinSmallGap" w:color="FF0000" w:sz="24" w:space="2"/>
      </w:pgBorders>
      <w:cols w:space="720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康简标题宋"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="1067" w:h="562" w:hRule="exact" w:wrap="around" w:vAnchor="text" w:hAnchor="page" w:x="9567" w:y="-391"/>
      <w:jc w:val="center"/>
      <w:rPr>
        <w:rStyle w:val="26"/>
        <w:rFonts w:hint="eastAsia"/>
      </w:rPr>
    </w:pPr>
    <w:r>
      <w:rPr>
        <w:rStyle w:val="26"/>
        <w:rFonts w:hint="eastAsia"/>
      </w:rPr>
      <w:t>—</w:t>
    </w:r>
    <w:r>
      <w:rPr>
        <w:rStyle w:val="26"/>
      </w:rPr>
      <w:fldChar w:fldCharType="begin"/>
    </w:r>
    <w:r>
      <w:rPr>
        <w:rStyle w:val="26"/>
      </w:rPr>
      <w:instrText xml:space="preserve">PAGE  </w:instrText>
    </w:r>
    <w:r>
      <w:rPr>
        <w:rStyle w:val="26"/>
      </w:rPr>
      <w:fldChar w:fldCharType="separate"/>
    </w:r>
    <w:r>
      <w:rPr>
        <w:rStyle w:val="26"/>
      </w:rPr>
      <w:t>3</w:t>
    </w:r>
    <w:r>
      <w:rPr>
        <w:rStyle w:val="26"/>
      </w:rPr>
      <w:fldChar w:fldCharType="end"/>
    </w:r>
    <w:r>
      <w:rPr>
        <w:rStyle w:val="26"/>
        <w:rFonts w:hint="eastAsia"/>
      </w:rPr>
      <w:t>—</w:t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notBeside" w:vAnchor="page" w:hAnchor="page" w:x="1638" w:y="14886"/>
      <w:rPr>
        <w:rStyle w:val="26"/>
      </w:rPr>
    </w:pPr>
    <w:r>
      <w:rPr>
        <w:rStyle w:val="26"/>
        <w:rFonts w:hint="eastAsia"/>
      </w:rPr>
      <w:t>—</w:t>
    </w:r>
    <w:r>
      <w:rPr>
        <w:rStyle w:val="26"/>
      </w:rPr>
      <w:fldChar w:fldCharType="begin"/>
    </w:r>
    <w:r>
      <w:rPr>
        <w:rStyle w:val="26"/>
      </w:rPr>
      <w:instrText xml:space="preserve">PAGE  </w:instrText>
    </w:r>
    <w:r>
      <w:rPr>
        <w:rStyle w:val="26"/>
      </w:rPr>
      <w:fldChar w:fldCharType="separate"/>
    </w:r>
    <w:r>
      <w:rPr>
        <w:rStyle w:val="26"/>
      </w:rPr>
      <w:t>2</w:t>
    </w:r>
    <w:r>
      <w:rPr>
        <w:rStyle w:val="26"/>
      </w:rPr>
      <w:fldChar w:fldCharType="end"/>
    </w:r>
    <w:r>
      <w:rPr>
        <w:rStyle w:val="26"/>
        <w:rFonts w:hint="eastAsia"/>
      </w:rPr>
      <w:t>—</w:t>
    </w:r>
  </w:p>
  <w:p>
    <w:pPr>
      <w:pStyle w:val="18"/>
      <w:ind w:right="360"/>
      <w:jc w:val="both"/>
      <w:rPr>
        <w:sz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none"/>
      <w:pStyle w:val="3"/>
      <w:suff w:val="nothing"/>
      <w:lvlText w:val=""/>
      <w:lvlJc w:val="left"/>
    </w:lvl>
    <w:lvl w:ilvl="1" w:tentative="0">
      <w:start w:val="0"/>
      <w:numFmt w:val="decimal"/>
      <w:pStyle w:val="4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pStyle w:val="5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pStyle w:val="6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pStyle w:val="7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pStyle w:val="8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pStyle w:val="9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pStyle w:val="10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pStyle w:val="11"/>
      <w:lvlText w:val="%9"/>
      <w:legacy w:legacy="1" w:legacySpace="0" w:legacyIndent="0"/>
      <w:lvlJc w:val="left"/>
      <w:rPr>
        <w:rFonts w:hint="eastAsia" w:ascii="宋体" w:eastAsia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alignBordersAndEdg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trackRevisions w:val="1"/>
  <w:documentProtection w:enforcement="0"/>
  <w:defaultTabStop w:val="420"/>
  <w:hyphenationZone w:val="360"/>
  <w:evenAndOddHeaders w:val="1"/>
  <w:drawingGridHorizontalSpacing w:val="160"/>
  <w:drawingGridVerticalSpacing w:val="2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E4"/>
    <w:rsid w:val="00013C15"/>
    <w:rsid w:val="000306FC"/>
    <w:rsid w:val="000661C3"/>
    <w:rsid w:val="00067264"/>
    <w:rsid w:val="000707C3"/>
    <w:rsid w:val="000A057C"/>
    <w:rsid w:val="000F2F72"/>
    <w:rsid w:val="00105145"/>
    <w:rsid w:val="00111C07"/>
    <w:rsid w:val="001152E3"/>
    <w:rsid w:val="00122F7A"/>
    <w:rsid w:val="00171A1E"/>
    <w:rsid w:val="001947FE"/>
    <w:rsid w:val="001B1D84"/>
    <w:rsid w:val="001C6DC2"/>
    <w:rsid w:val="001E1BA4"/>
    <w:rsid w:val="002000C9"/>
    <w:rsid w:val="0021022E"/>
    <w:rsid w:val="00212CA0"/>
    <w:rsid w:val="002357E0"/>
    <w:rsid w:val="00256800"/>
    <w:rsid w:val="002645C8"/>
    <w:rsid w:val="00284322"/>
    <w:rsid w:val="00293F60"/>
    <w:rsid w:val="00295B41"/>
    <w:rsid w:val="002975C2"/>
    <w:rsid w:val="003224B6"/>
    <w:rsid w:val="0034421C"/>
    <w:rsid w:val="00380116"/>
    <w:rsid w:val="003B62D6"/>
    <w:rsid w:val="003D4612"/>
    <w:rsid w:val="0042419C"/>
    <w:rsid w:val="004522E4"/>
    <w:rsid w:val="00457118"/>
    <w:rsid w:val="00483FB0"/>
    <w:rsid w:val="004A2681"/>
    <w:rsid w:val="004A2D4C"/>
    <w:rsid w:val="004C2023"/>
    <w:rsid w:val="00517238"/>
    <w:rsid w:val="00523B57"/>
    <w:rsid w:val="00527317"/>
    <w:rsid w:val="00566A3C"/>
    <w:rsid w:val="005677AE"/>
    <w:rsid w:val="005700E1"/>
    <w:rsid w:val="0057562A"/>
    <w:rsid w:val="005B083F"/>
    <w:rsid w:val="005B57F3"/>
    <w:rsid w:val="005D6168"/>
    <w:rsid w:val="00614A86"/>
    <w:rsid w:val="00617921"/>
    <w:rsid w:val="006432FD"/>
    <w:rsid w:val="006524A4"/>
    <w:rsid w:val="00654F18"/>
    <w:rsid w:val="00660F61"/>
    <w:rsid w:val="006639C5"/>
    <w:rsid w:val="006C64D3"/>
    <w:rsid w:val="006D0B1E"/>
    <w:rsid w:val="006D5CD5"/>
    <w:rsid w:val="006D664F"/>
    <w:rsid w:val="0072201F"/>
    <w:rsid w:val="00726032"/>
    <w:rsid w:val="00741695"/>
    <w:rsid w:val="00753606"/>
    <w:rsid w:val="00764CFA"/>
    <w:rsid w:val="007A2426"/>
    <w:rsid w:val="007A5C5B"/>
    <w:rsid w:val="007C18AB"/>
    <w:rsid w:val="007D7EA4"/>
    <w:rsid w:val="008056B8"/>
    <w:rsid w:val="00807BDC"/>
    <w:rsid w:val="00824F92"/>
    <w:rsid w:val="008433A5"/>
    <w:rsid w:val="008A546F"/>
    <w:rsid w:val="008A6105"/>
    <w:rsid w:val="00905E6C"/>
    <w:rsid w:val="00907475"/>
    <w:rsid w:val="00907EF3"/>
    <w:rsid w:val="009238B8"/>
    <w:rsid w:val="0093318E"/>
    <w:rsid w:val="0095665B"/>
    <w:rsid w:val="00961D25"/>
    <w:rsid w:val="00967E74"/>
    <w:rsid w:val="00982ED9"/>
    <w:rsid w:val="009911E9"/>
    <w:rsid w:val="00994802"/>
    <w:rsid w:val="009A292C"/>
    <w:rsid w:val="009A4F0C"/>
    <w:rsid w:val="009C5E03"/>
    <w:rsid w:val="009F5600"/>
    <w:rsid w:val="00A30DE5"/>
    <w:rsid w:val="00A450E9"/>
    <w:rsid w:val="00A8355F"/>
    <w:rsid w:val="00AA31BE"/>
    <w:rsid w:val="00AA7CAA"/>
    <w:rsid w:val="00AB5EA8"/>
    <w:rsid w:val="00AD0583"/>
    <w:rsid w:val="00AE5957"/>
    <w:rsid w:val="00B01CCB"/>
    <w:rsid w:val="00B21BDF"/>
    <w:rsid w:val="00B25A02"/>
    <w:rsid w:val="00B40F3A"/>
    <w:rsid w:val="00B43EFA"/>
    <w:rsid w:val="00B74DC6"/>
    <w:rsid w:val="00B97CC4"/>
    <w:rsid w:val="00BA3B9E"/>
    <w:rsid w:val="00BC13BD"/>
    <w:rsid w:val="00BC549A"/>
    <w:rsid w:val="00C066B0"/>
    <w:rsid w:val="00C076FE"/>
    <w:rsid w:val="00C128BE"/>
    <w:rsid w:val="00C613B2"/>
    <w:rsid w:val="00C65C2B"/>
    <w:rsid w:val="00C95D21"/>
    <w:rsid w:val="00CC51E6"/>
    <w:rsid w:val="00CC7ABD"/>
    <w:rsid w:val="00CE6A0E"/>
    <w:rsid w:val="00CE7660"/>
    <w:rsid w:val="00D04E7B"/>
    <w:rsid w:val="00D156AC"/>
    <w:rsid w:val="00D23822"/>
    <w:rsid w:val="00D316EB"/>
    <w:rsid w:val="00D36B77"/>
    <w:rsid w:val="00D47A0C"/>
    <w:rsid w:val="00D6578A"/>
    <w:rsid w:val="00D82595"/>
    <w:rsid w:val="00DC2705"/>
    <w:rsid w:val="00DC5A47"/>
    <w:rsid w:val="00DD7C67"/>
    <w:rsid w:val="00DF21C8"/>
    <w:rsid w:val="00DF7D5E"/>
    <w:rsid w:val="00E23515"/>
    <w:rsid w:val="00E27088"/>
    <w:rsid w:val="00E374F9"/>
    <w:rsid w:val="00E96FB3"/>
    <w:rsid w:val="00EA0269"/>
    <w:rsid w:val="00EA34FD"/>
    <w:rsid w:val="00EF132A"/>
    <w:rsid w:val="00F01FEA"/>
    <w:rsid w:val="00F60959"/>
    <w:rsid w:val="00F8102E"/>
    <w:rsid w:val="00FB3DB4"/>
    <w:rsid w:val="00FC12CF"/>
    <w:rsid w:val="00FC15F6"/>
    <w:rsid w:val="00FC6146"/>
    <w:rsid w:val="00FE72CD"/>
    <w:rsid w:val="00FF3126"/>
    <w:rsid w:val="081277C3"/>
    <w:rsid w:val="0BDB07FE"/>
    <w:rsid w:val="0C0D5645"/>
    <w:rsid w:val="0DD34E48"/>
    <w:rsid w:val="0E9DB479"/>
    <w:rsid w:val="11EC6A40"/>
    <w:rsid w:val="17B30B13"/>
    <w:rsid w:val="1970495B"/>
    <w:rsid w:val="1B8B761F"/>
    <w:rsid w:val="1D3FEAC3"/>
    <w:rsid w:val="21E97447"/>
    <w:rsid w:val="26856F68"/>
    <w:rsid w:val="2687236A"/>
    <w:rsid w:val="28351649"/>
    <w:rsid w:val="2A7F1DB6"/>
    <w:rsid w:val="2D9B78B2"/>
    <w:rsid w:val="2FEA8369"/>
    <w:rsid w:val="33531FF8"/>
    <w:rsid w:val="34416C81"/>
    <w:rsid w:val="367CE2FE"/>
    <w:rsid w:val="36BB60B4"/>
    <w:rsid w:val="373FF6B1"/>
    <w:rsid w:val="3815612A"/>
    <w:rsid w:val="38FF96F1"/>
    <w:rsid w:val="39F841A4"/>
    <w:rsid w:val="3DA5609A"/>
    <w:rsid w:val="3FBEB661"/>
    <w:rsid w:val="3FEE3744"/>
    <w:rsid w:val="42534BF6"/>
    <w:rsid w:val="442347E0"/>
    <w:rsid w:val="459A744C"/>
    <w:rsid w:val="473B19C2"/>
    <w:rsid w:val="48AE1376"/>
    <w:rsid w:val="4B9FF622"/>
    <w:rsid w:val="4C5E1B8D"/>
    <w:rsid w:val="4E506D95"/>
    <w:rsid w:val="51FBBA84"/>
    <w:rsid w:val="53DF5407"/>
    <w:rsid w:val="53FE41EE"/>
    <w:rsid w:val="56DDE465"/>
    <w:rsid w:val="57D67EA5"/>
    <w:rsid w:val="5C4B588E"/>
    <w:rsid w:val="5D9FA4C6"/>
    <w:rsid w:val="5EA93116"/>
    <w:rsid w:val="5F57828E"/>
    <w:rsid w:val="5FFF9579"/>
    <w:rsid w:val="60D05247"/>
    <w:rsid w:val="63FD029D"/>
    <w:rsid w:val="64B762F0"/>
    <w:rsid w:val="652B3860"/>
    <w:rsid w:val="665803F5"/>
    <w:rsid w:val="67F42391"/>
    <w:rsid w:val="681364C8"/>
    <w:rsid w:val="68FFB624"/>
    <w:rsid w:val="69EAD3CC"/>
    <w:rsid w:val="6BD38717"/>
    <w:rsid w:val="6BFE7180"/>
    <w:rsid w:val="6CB33066"/>
    <w:rsid w:val="6DB166DB"/>
    <w:rsid w:val="6DF6552D"/>
    <w:rsid w:val="6DFB368E"/>
    <w:rsid w:val="6DFFF055"/>
    <w:rsid w:val="6EEFB44D"/>
    <w:rsid w:val="6EEFDFB9"/>
    <w:rsid w:val="6F3E73A0"/>
    <w:rsid w:val="6FBFA689"/>
    <w:rsid w:val="6FDD2F67"/>
    <w:rsid w:val="6FEF0D35"/>
    <w:rsid w:val="6FF33723"/>
    <w:rsid w:val="6FFC76E9"/>
    <w:rsid w:val="701349CB"/>
    <w:rsid w:val="71AA6292"/>
    <w:rsid w:val="720A7CD7"/>
    <w:rsid w:val="732B5D72"/>
    <w:rsid w:val="73FE5419"/>
    <w:rsid w:val="747E65D0"/>
    <w:rsid w:val="74FEFB6D"/>
    <w:rsid w:val="75DE3A14"/>
    <w:rsid w:val="777C70C3"/>
    <w:rsid w:val="777E4569"/>
    <w:rsid w:val="77BD1014"/>
    <w:rsid w:val="78BCC5C7"/>
    <w:rsid w:val="79994492"/>
    <w:rsid w:val="7BFD9A78"/>
    <w:rsid w:val="7CB6196D"/>
    <w:rsid w:val="7CBF69CD"/>
    <w:rsid w:val="7D6F6D44"/>
    <w:rsid w:val="7E36E6E7"/>
    <w:rsid w:val="7E544AFC"/>
    <w:rsid w:val="7E9F16DE"/>
    <w:rsid w:val="7F7F6F81"/>
    <w:rsid w:val="7F7FAFDC"/>
    <w:rsid w:val="7FAA4B9F"/>
    <w:rsid w:val="7FEF090C"/>
    <w:rsid w:val="7FFD73F9"/>
    <w:rsid w:val="7FFEED79"/>
    <w:rsid w:val="7FFEF134"/>
    <w:rsid w:val="7FFEF608"/>
    <w:rsid w:val="7FFF2708"/>
    <w:rsid w:val="7FFF37B0"/>
    <w:rsid w:val="8AD542CA"/>
    <w:rsid w:val="8F34D312"/>
    <w:rsid w:val="8FBD2152"/>
    <w:rsid w:val="952C597A"/>
    <w:rsid w:val="9FDCFD9C"/>
    <w:rsid w:val="A2FF24AC"/>
    <w:rsid w:val="AAFBB7F0"/>
    <w:rsid w:val="AEDDE47B"/>
    <w:rsid w:val="B77FD440"/>
    <w:rsid w:val="BAFF73BA"/>
    <w:rsid w:val="BC7F1FA8"/>
    <w:rsid w:val="BD7B4003"/>
    <w:rsid w:val="BDD7A17F"/>
    <w:rsid w:val="BF7F68EE"/>
    <w:rsid w:val="BFDFB17B"/>
    <w:rsid w:val="BFFFEBFA"/>
    <w:rsid w:val="D6DD01B5"/>
    <w:rsid w:val="D7357BF7"/>
    <w:rsid w:val="D7FD9713"/>
    <w:rsid w:val="D97CAB79"/>
    <w:rsid w:val="D9FA7C35"/>
    <w:rsid w:val="DCEAAF99"/>
    <w:rsid w:val="DCFF1064"/>
    <w:rsid w:val="DF0BB04C"/>
    <w:rsid w:val="DFACAED6"/>
    <w:rsid w:val="DFDBFD8B"/>
    <w:rsid w:val="DFDF827B"/>
    <w:rsid w:val="DFDFDE37"/>
    <w:rsid w:val="DFFFA304"/>
    <w:rsid w:val="E5E7415F"/>
    <w:rsid w:val="EB8F67EE"/>
    <w:rsid w:val="EDFDA419"/>
    <w:rsid w:val="EEBD4B8B"/>
    <w:rsid w:val="EF61F8BB"/>
    <w:rsid w:val="EFFC27A1"/>
    <w:rsid w:val="EFFD9FB8"/>
    <w:rsid w:val="F1BFA40B"/>
    <w:rsid w:val="F2EF3BD6"/>
    <w:rsid w:val="F3F24B98"/>
    <w:rsid w:val="F6BEA318"/>
    <w:rsid w:val="F775A666"/>
    <w:rsid w:val="F7FD1C45"/>
    <w:rsid w:val="F9FE25DF"/>
    <w:rsid w:val="FBF7B1CC"/>
    <w:rsid w:val="FBFB2A1A"/>
    <w:rsid w:val="FCEF863E"/>
    <w:rsid w:val="FD3FBDE9"/>
    <w:rsid w:val="FDAF3187"/>
    <w:rsid w:val="FDED00F2"/>
    <w:rsid w:val="FDFD7B1A"/>
    <w:rsid w:val="FE7DD8C0"/>
    <w:rsid w:val="FEB74ECD"/>
    <w:rsid w:val="FEFE7D97"/>
    <w:rsid w:val="FF5EA73A"/>
    <w:rsid w:val="FF6B3ACA"/>
    <w:rsid w:val="FF6FD1BE"/>
    <w:rsid w:val="FF7F1703"/>
    <w:rsid w:val="FFB7911D"/>
    <w:rsid w:val="FFFBA62F"/>
    <w:rsid w:val="FFFD5BBF"/>
    <w:rsid w:val="FFFE3DF7"/>
    <w:rsid w:val="FFFFD4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adjustRightInd w:val="0"/>
      <w:spacing w:line="580" w:lineRule="atLeast"/>
      <w:jc w:val="center"/>
      <w:textAlignment w:val="baseline"/>
      <w:outlineLvl w:val="0"/>
    </w:pPr>
    <w:rPr>
      <w:rFonts w:eastAsia="华康简标题宋"/>
      <w:kern w:val="44"/>
      <w:sz w:val="36"/>
      <w:szCs w:val="20"/>
    </w:rPr>
  </w:style>
  <w:style w:type="paragraph" w:styleId="4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Cs w:val="20"/>
    </w:rPr>
  </w:style>
  <w:style w:type="paragraph" w:styleId="5">
    <w:name w:val="heading 3"/>
    <w:basedOn w:val="1"/>
    <w:next w:val="1"/>
    <w:qFormat/>
    <w:uiPriority w:val="0"/>
    <w:pPr>
      <w:keepNext/>
      <w:keepLines/>
      <w:widowControl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b/>
      <w:kern w:val="0"/>
      <w:szCs w:val="20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numPr>
        <w:ilvl w:val="3"/>
        <w:numId w:val="1"/>
      </w:numPr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adjustRightInd w:val="0"/>
      <w:spacing w:before="280" w:after="290" w:line="376" w:lineRule="atLeast"/>
      <w:textAlignment w:val="baseline"/>
      <w:outlineLvl w:val="4"/>
    </w:pPr>
    <w:rPr>
      <w:b/>
      <w:kern w:val="0"/>
      <w:sz w:val="28"/>
      <w:szCs w:val="20"/>
    </w:rPr>
  </w:style>
  <w:style w:type="paragraph" w:styleId="8">
    <w:name w:val="heading 6"/>
    <w:basedOn w:val="1"/>
    <w:next w:val="1"/>
    <w:qFormat/>
    <w:uiPriority w:val="0"/>
    <w:pPr>
      <w:keepNext/>
      <w:keepLines/>
      <w:widowControl/>
      <w:numPr>
        <w:ilvl w:val="5"/>
        <w:numId w:val="1"/>
      </w:numPr>
      <w:adjustRightInd w:val="0"/>
      <w:spacing w:before="240" w:after="64" w:line="320" w:lineRule="atLeast"/>
      <w:textAlignment w:val="baseline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9">
    <w:name w:val="heading 7"/>
    <w:basedOn w:val="1"/>
    <w:next w:val="1"/>
    <w:qFormat/>
    <w:uiPriority w:val="0"/>
    <w:pPr>
      <w:keepNext/>
      <w:keepLines/>
      <w:widowControl/>
      <w:numPr>
        <w:ilvl w:val="6"/>
        <w:numId w:val="1"/>
      </w:numPr>
      <w:adjustRightInd w:val="0"/>
      <w:spacing w:before="240" w:after="64" w:line="320" w:lineRule="atLeast"/>
      <w:textAlignment w:val="baseline"/>
      <w:outlineLvl w:val="6"/>
    </w:pPr>
    <w:rPr>
      <w:b/>
      <w:kern w:val="0"/>
      <w:sz w:val="24"/>
      <w:szCs w:val="20"/>
    </w:rPr>
  </w:style>
  <w:style w:type="paragraph" w:styleId="10">
    <w:name w:val="heading 8"/>
    <w:basedOn w:val="1"/>
    <w:next w:val="1"/>
    <w:qFormat/>
    <w:uiPriority w:val="0"/>
    <w:pPr>
      <w:keepNext/>
      <w:keepLines/>
      <w:widowControl/>
      <w:numPr>
        <w:ilvl w:val="7"/>
        <w:numId w:val="1"/>
      </w:numPr>
      <w:adjustRightInd w:val="0"/>
      <w:spacing w:before="240" w:after="64" w:line="320" w:lineRule="atLeast"/>
      <w:textAlignment w:val="baseline"/>
      <w:outlineLvl w:val="7"/>
    </w:pPr>
    <w:rPr>
      <w:rFonts w:ascii="Arial" w:hAnsi="Arial" w:eastAsia="黑体"/>
      <w:kern w:val="0"/>
      <w:sz w:val="24"/>
      <w:szCs w:val="20"/>
    </w:rPr>
  </w:style>
  <w:style w:type="paragraph" w:styleId="11">
    <w:name w:val="heading 9"/>
    <w:basedOn w:val="1"/>
    <w:next w:val="1"/>
    <w:qFormat/>
    <w:uiPriority w:val="0"/>
    <w:pPr>
      <w:keepNext/>
      <w:keepLines/>
      <w:widowControl/>
      <w:numPr>
        <w:ilvl w:val="8"/>
        <w:numId w:val="1"/>
      </w:numPr>
      <w:adjustRightInd w:val="0"/>
      <w:spacing w:before="240" w:after="64" w:line="320" w:lineRule="atLeast"/>
      <w:textAlignment w:val="baseline"/>
      <w:outlineLvl w:val="8"/>
    </w:pPr>
    <w:rPr>
      <w:rFonts w:ascii="Arial" w:hAnsi="Arial" w:eastAsia="黑体"/>
      <w:kern w:val="0"/>
      <w:sz w:val="21"/>
      <w:szCs w:val="20"/>
    </w:rPr>
  </w:style>
  <w:style w:type="character" w:default="1" w:styleId="25">
    <w:name w:val="Default Paragraph Font"/>
    <w:semiHidden/>
    <w:qFormat/>
    <w:uiPriority w:val="0"/>
  </w:style>
  <w:style w:type="table" w:default="1" w:styleId="2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</w:rPr>
  </w:style>
  <w:style w:type="paragraph" w:styleId="12">
    <w:name w:val="Normal Indent"/>
    <w:basedOn w:val="1"/>
    <w:qFormat/>
    <w:uiPriority w:val="0"/>
    <w:pPr>
      <w:ind w:firstLine="420" w:firstLineChars="200"/>
    </w:pPr>
  </w:style>
  <w:style w:type="paragraph" w:styleId="13">
    <w:name w:val="Body Text Indent"/>
    <w:basedOn w:val="1"/>
    <w:qFormat/>
    <w:uiPriority w:val="0"/>
    <w:pPr>
      <w:topLinePunct/>
      <w:autoSpaceDE w:val="0"/>
      <w:autoSpaceDN w:val="0"/>
      <w:spacing w:line="540" w:lineRule="atLeast"/>
      <w:ind w:firstLine="600"/>
    </w:pPr>
    <w:rPr>
      <w:rFonts w:ascii="华康简标题宋"/>
      <w:sz w:val="30"/>
    </w:rPr>
  </w:style>
  <w:style w:type="paragraph" w:styleId="14">
    <w:name w:val="Plain Text"/>
    <w:basedOn w:val="1"/>
    <w:qFormat/>
    <w:uiPriority w:val="0"/>
    <w:rPr>
      <w:rFonts w:ascii="宋体" w:hAnsi="Times New Roman" w:eastAsia="宋体" w:cs="Times New Roman"/>
      <w:sz w:val="30"/>
      <w:szCs w:val="21"/>
      <w:lang w:bidi="ar-SA"/>
    </w:rPr>
  </w:style>
  <w:style w:type="paragraph" w:styleId="15">
    <w:name w:val="Date"/>
    <w:basedOn w:val="1"/>
    <w:next w:val="1"/>
    <w:qFormat/>
    <w:uiPriority w:val="0"/>
    <w:pPr>
      <w:ind w:left="100" w:leftChars="2500"/>
    </w:pPr>
  </w:style>
  <w:style w:type="paragraph" w:styleId="16">
    <w:name w:val="Body Text Indent 2"/>
    <w:basedOn w:val="1"/>
    <w:qFormat/>
    <w:uiPriority w:val="0"/>
    <w:pPr>
      <w:ind w:firstLine="620" w:firstLineChars="200"/>
    </w:pPr>
    <w:rPr>
      <w:sz w:val="31"/>
    </w:rPr>
  </w:style>
  <w:style w:type="paragraph" w:styleId="17">
    <w:name w:val="Balloon Text"/>
    <w:basedOn w:val="1"/>
    <w:semiHidden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19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1"/>
    <w:qFormat/>
    <w:uiPriority w:val="0"/>
    <w:pPr>
      <w:widowControl/>
      <w:jc w:val="center"/>
    </w:pPr>
    <w:rPr>
      <w:rFonts w:eastAsia="华康简标题宋"/>
      <w:color w:val="FF0000"/>
      <w:sz w:val="42"/>
      <w:szCs w:val="23"/>
    </w:rPr>
  </w:style>
  <w:style w:type="paragraph" w:styleId="21">
    <w:name w:val="Title"/>
    <w:basedOn w:val="1"/>
    <w:qFormat/>
    <w:uiPriority w:val="0"/>
    <w:pPr>
      <w:spacing w:before="240" w:after="60"/>
      <w:jc w:val="center"/>
      <w:outlineLvl w:val="0"/>
    </w:pPr>
    <w:rPr>
      <w:rFonts w:eastAsia="华康简标题宋" w:cs="Arial"/>
      <w:bCs/>
      <w:sz w:val="44"/>
      <w:szCs w:val="32"/>
    </w:rPr>
  </w:style>
  <w:style w:type="paragraph" w:styleId="22">
    <w:name w:val="Body Text First Indent"/>
    <w:basedOn w:val="2"/>
    <w:qFormat/>
    <w:uiPriority w:val="99"/>
    <w:pPr>
      <w:ind w:firstLine="100" w:firstLineChars="100"/>
      <w:jc w:val="left"/>
    </w:pPr>
    <w:rPr>
      <w:rFonts w:ascii="Times New Roman" w:hAnsi="Times New Roman"/>
    </w:rPr>
  </w:style>
  <w:style w:type="table" w:styleId="24">
    <w:name w:val="Table Grid"/>
    <w:basedOn w:val="2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qFormat/>
    <w:uiPriority w:val="0"/>
    <w:rPr>
      <w:rFonts w:ascii="Times New Roman" w:hAnsi="Times New Roman" w:eastAsia="仿宋_GB2312"/>
      <w:sz w:val="28"/>
      <w:lang w:eastAsia="zh-CN"/>
    </w:rPr>
  </w:style>
  <w:style w:type="character" w:styleId="27">
    <w:name w:val="Hyperlink"/>
    <w:basedOn w:val="25"/>
    <w:qFormat/>
    <w:uiPriority w:val="0"/>
    <w:rPr>
      <w:color w:val="0000FF"/>
      <w:u w:val="single"/>
    </w:rPr>
  </w:style>
  <w:style w:type="paragraph" w:customStyle="1" w:styleId="28">
    <w:name w:val="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9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null9"/>
    <w:qFormat/>
    <w:uiPriority w:val="0"/>
    <w:rPr>
      <w:rFonts w:hint="default" w:ascii="仿宋_GB2312" w:hAnsi="华文仿宋" w:eastAsia="仿宋_GB2312" w:cs="Times New Roman"/>
      <w:sz w:val="28"/>
      <w:szCs w:val="2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os\C:\home\uos\C:\home\uos\D:\home\uos\E:\001&#24066;&#25919;&#24220;&#20844;&#25991;&#26684;&#24335;&#27169;&#26495;\&#19996;&#24220;&#20989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东府函模板</Template>
  <Company>dgcc</Company>
  <Pages>9</Pages>
  <Words>1629</Words>
  <Characters>1647</Characters>
  <Lines>2</Lines>
  <Paragraphs>1</Paragraphs>
  <TotalTime>55</TotalTime>
  <ScaleCrop>false</ScaleCrop>
  <LinksUpToDate>false</LinksUpToDate>
  <CharactersWithSpaces>1672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2016-07-17T03:04:00Z</dcterms:created>
  <dc:creator>yangl</dc:creator>
  <cp:lastModifiedBy>猫小姐的执着</cp:lastModifiedBy>
  <cp:lastPrinted>2026-05-18T07:32:14Z</cp:lastPrinted>
  <dcterms:modified xsi:type="dcterms:W3CDTF">2026-05-18T07:32:29Z</dcterms:modified>
  <dc:title>东莞市人民政府办公室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5E4B92E6172B4379983D710F4C199173_13</vt:lpwstr>
  </property>
  <property fmtid="{D5CDD505-2E9C-101B-9397-08002B2CF9AE}" pid="4" name="KSOTemplateDocerSaveRecord">
    <vt:lpwstr>eyJoZGlkIjoiYzJkODRlMmY3YjQ1YzRiZjYyM2JhYTE1MjJjZjQyNWQiLCJ1c2VySWQiOiIzMDI2OTYwNTEifQ==</vt:lpwstr>
  </property>
</Properties>
</file>