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5"/>
        <w:tblW w:w="0" w:type="auto"/>
        <w:jc w:val="center"/>
        <w:tblBorders>
          <w:top w:val="none" w:color="auto" w:sz="0" w:space="0"/>
          <w:left w:val="none" w:color="auto" w:sz="0" w:space="0"/>
          <w:bottom w:val="thinThickMediumGap" w:color="FF0000" w:sz="1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061"/>
      </w:tblGrid>
      <w:tr w14:paraId="6AFB025A">
        <w:tblPrEx>
          <w:tblBorders>
            <w:top w:val="none" w:color="auto" w:sz="0" w:space="0"/>
            <w:left w:val="none" w:color="auto" w:sz="0" w:space="0"/>
            <w:bottom w:val="thinThickMediumGap" w:color="FF0000" w:sz="1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9061" w:type="dxa"/>
          </w:tcPr>
          <w:p w14:paraId="3EB67F5E">
            <w:pPr>
              <w:pStyle w:val="5"/>
              <w:numPr>
                <w:ilvl w:val="0"/>
                <w:numId w:val="0"/>
              </w:numPr>
              <w:autoSpaceDE w:val="0"/>
              <w:autoSpaceDN w:val="0"/>
              <w:snapToGrid w:val="0"/>
              <w:rPr>
                <w:b/>
                <w:bCs/>
                <w:color w:val="FF0000"/>
                <w:spacing w:val="60"/>
                <w:w w:val="90"/>
                <w:kern w:val="72"/>
                <w:sz w:val="72"/>
                <w:szCs w:val="72"/>
              </w:rPr>
            </w:pPr>
            <w:bookmarkStart w:id="0" w:name="xxqqWholeArea"/>
            <w:r>
              <w:rPr>
                <w:rFonts w:eastAsia="方正小标宋简体"/>
                <w:b/>
                <w:color w:val="FF0000"/>
                <w:spacing w:val="60"/>
                <w:w w:val="90"/>
                <w:kern w:val="72"/>
                <w:sz w:val="72"/>
                <w:szCs w:val="72"/>
              </w:rPr>
              <w:t>东莞市住房和城乡建设局</w:t>
            </w:r>
          </w:p>
        </w:tc>
      </w:tr>
      <w:bookmarkEnd w:id="0"/>
    </w:tbl>
    <w:p w14:paraId="5F4D7B85">
      <w:pPr>
        <w:pStyle w:val="17"/>
        <w:adjustRightInd w:val="0"/>
        <w:snapToGrid w:val="0"/>
        <w:spacing w:line="500" w:lineRule="exact"/>
        <w:ind w:left="0" w:leftChars="0" w:firstLine="0" w:firstLineChars="0"/>
        <w:jc w:val="both"/>
        <w:rPr>
          <w:sz w:val="31"/>
          <w:szCs w:val="31"/>
        </w:rPr>
      </w:pPr>
    </w:p>
    <w:p w14:paraId="2E08BCB3">
      <w:pPr>
        <w:pStyle w:val="17"/>
        <w:keepNext w:val="0"/>
        <w:keepLines w:val="0"/>
        <w:pageBreakBefore w:val="0"/>
        <w:widowControl w:val="0"/>
        <w:kinsoku/>
        <w:wordWrap/>
        <w:overflowPunct/>
        <w:bidi w:val="0"/>
        <w:adjustRightInd w:val="0"/>
        <w:snapToGrid w:val="0"/>
        <w:spacing w:line="600" w:lineRule="exact"/>
        <w:ind w:firstLine="62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东建函〔</w:t>
      </w:r>
      <w:r>
        <w:rPr>
          <w:rFonts w:hint="default" w:ascii="Times New Roman" w:hAnsi="Times New Roman" w:eastAsia="仿宋_GB2312" w:cs="Times New Roman"/>
          <w:sz w:val="32"/>
          <w:szCs w:val="32"/>
        </w:rPr>
        <w:t>202</w:t>
      </w:r>
      <w:r>
        <w:rPr>
          <w:rFonts w:hint="default" w:ascii="Times New Roman" w:hAnsi="Times New Roman" w:eastAsia="仿宋_GB2312" w:cs="Times New Roman"/>
          <w:sz w:val="32"/>
          <w:szCs w:val="32"/>
          <w:lang w:val="en-US" w:eastAsia="zh-CN"/>
        </w:rPr>
        <w:t>6</w:t>
      </w:r>
      <w:r>
        <w:rPr>
          <w:rFonts w:hint="eastAsia" w:ascii="仿宋_GB2312" w:hAnsi="仿宋_GB2312" w:eastAsia="仿宋_GB2312" w:cs="仿宋_GB2312"/>
          <w:sz w:val="32"/>
          <w:szCs w:val="32"/>
        </w:rPr>
        <w:t>〕</w:t>
      </w:r>
      <w:r>
        <w:rPr>
          <w:rFonts w:hint="default" w:ascii="Times New Roman" w:hAnsi="Times New Roman" w:eastAsia="仿宋_GB2312" w:cs="Times New Roman"/>
          <w:sz w:val="32"/>
          <w:szCs w:val="32"/>
          <w:lang w:val="en-US" w:eastAsia="zh-CN"/>
        </w:rPr>
        <w:t>28</w:t>
      </w:r>
      <w:r>
        <w:rPr>
          <w:rFonts w:hint="eastAsia" w:ascii="仿宋_GB2312" w:hAnsi="仿宋_GB2312" w:eastAsia="仿宋_GB2312" w:cs="仿宋_GB2312"/>
          <w:sz w:val="32"/>
          <w:szCs w:val="32"/>
        </w:rPr>
        <w:t>号</w:t>
      </w:r>
    </w:p>
    <w:p w14:paraId="47D5312A">
      <w:pPr>
        <w:keepNext w:val="0"/>
        <w:keepLines w:val="0"/>
        <w:pageBreakBefore w:val="0"/>
        <w:widowControl w:val="0"/>
        <w:kinsoku/>
        <w:wordWrap/>
        <w:overflowPunct/>
        <w:bidi w:val="0"/>
        <w:spacing w:line="600" w:lineRule="exact"/>
        <w:ind w:right="83" w:rightChars="26"/>
        <w:jc w:val="center"/>
        <w:textAlignment w:val="auto"/>
        <w:rPr>
          <w:rFonts w:ascii="Times New Roman" w:hAnsi="Times New Roman" w:cs="Times New Roman"/>
          <w:kern w:val="0"/>
          <w:szCs w:val="32"/>
        </w:rPr>
      </w:pPr>
      <w:r>
        <w:rPr>
          <w:rFonts w:hint="eastAsia" w:ascii="仿宋_GB2312" w:hAnsi="仿宋_GB2312" w:eastAsia="仿宋_GB2312" w:cs="仿宋_GB2312"/>
          <w:kern w:val="0"/>
          <w:szCs w:val="32"/>
          <w:lang w:val="en-US" w:eastAsia="zh-CN"/>
        </w:rPr>
        <w:t xml:space="preserve">                                              </w:t>
      </w:r>
      <w:r>
        <w:rPr>
          <w:rFonts w:hint="eastAsia" w:ascii="仿宋_GB2312" w:hAnsi="仿宋_GB2312" w:eastAsia="仿宋_GB2312" w:cs="仿宋_GB2312"/>
          <w:kern w:val="0"/>
          <w:szCs w:val="32"/>
        </w:rPr>
        <w:t>（</w:t>
      </w:r>
      <w:r>
        <w:rPr>
          <w:rFonts w:hint="default" w:ascii="Times New Roman" w:hAnsi="Times New Roman" w:eastAsia="仿宋_GB2312" w:cs="Times New Roman"/>
          <w:kern w:val="0"/>
          <w:szCs w:val="32"/>
          <w:lang w:val="en-US" w:eastAsia="zh-CN"/>
        </w:rPr>
        <w:t>B</w:t>
      </w:r>
      <w:r>
        <w:rPr>
          <w:rFonts w:hint="eastAsia" w:ascii="仿宋_GB2312" w:hAnsi="仿宋_GB2312" w:eastAsia="仿宋_GB2312" w:cs="仿宋_GB2312"/>
          <w:kern w:val="0"/>
          <w:szCs w:val="32"/>
        </w:rPr>
        <w:t>类）</w:t>
      </w:r>
    </w:p>
    <w:p w14:paraId="67D43FF7">
      <w:pPr>
        <w:keepNext w:val="0"/>
        <w:keepLines w:val="0"/>
        <w:pageBreakBefore w:val="0"/>
        <w:widowControl w:val="0"/>
        <w:kinsoku/>
        <w:wordWrap/>
        <w:overflowPunct/>
        <w:topLinePunct/>
        <w:autoSpaceDE w:val="0"/>
        <w:autoSpaceDN w:val="0"/>
        <w:bidi w:val="0"/>
        <w:spacing w:line="600" w:lineRule="exact"/>
        <w:jc w:val="both"/>
        <w:textAlignment w:val="auto"/>
        <w:rPr>
          <w:rFonts w:hint="default" w:ascii="Times New Roman" w:hAnsi="Times New Roman" w:eastAsia="华康简标题宋" w:cs="Times New Roman"/>
          <w:sz w:val="36"/>
        </w:rPr>
      </w:pPr>
    </w:p>
    <w:p w14:paraId="60CD0DDA">
      <w:pPr>
        <w:keepNext w:val="0"/>
        <w:keepLines w:val="0"/>
        <w:pageBreakBefore w:val="0"/>
        <w:widowControl w:val="0"/>
        <w:kinsoku/>
        <w:wordWrap/>
        <w:overflowPunct/>
        <w:bidi w:val="0"/>
        <w:spacing w:line="600" w:lineRule="exact"/>
        <w:ind w:right="18"/>
        <w:jc w:val="center"/>
        <w:textAlignment w:val="auto"/>
        <w:rPr>
          <w:rFonts w:hint="default" w:ascii="Times New Roman" w:hAnsi="Times New Roman" w:eastAsia="方正小标宋简体" w:cs="Times New Roman"/>
          <w:sz w:val="44"/>
          <w:szCs w:val="44"/>
          <w:lang w:eastAsia="zh-CN"/>
        </w:rPr>
      </w:pPr>
      <w:r>
        <w:rPr>
          <w:rFonts w:hint="eastAsia" w:ascii="Times New Roman" w:hAnsi="Times New Roman" w:eastAsia="方正小标宋简体" w:cs="Times New Roman"/>
          <w:sz w:val="44"/>
          <w:szCs w:val="44"/>
          <w:lang w:eastAsia="zh-CN"/>
        </w:rPr>
        <w:t>东莞市住房和城乡建设局</w:t>
      </w:r>
      <w:r>
        <w:rPr>
          <w:rFonts w:hint="default" w:ascii="Times New Roman" w:hAnsi="Times New Roman" w:eastAsia="方正小标宋简体" w:cs="Times New Roman"/>
          <w:sz w:val="44"/>
          <w:szCs w:val="44"/>
          <w:lang w:eastAsia="zh-CN"/>
        </w:rPr>
        <w:t>关于东莞市政协</w:t>
      </w:r>
    </w:p>
    <w:p w14:paraId="1A2DDCDE">
      <w:pPr>
        <w:keepNext w:val="0"/>
        <w:keepLines w:val="0"/>
        <w:pageBreakBefore w:val="0"/>
        <w:widowControl w:val="0"/>
        <w:kinsoku/>
        <w:wordWrap/>
        <w:overflowPunct/>
        <w:bidi w:val="0"/>
        <w:spacing w:line="600" w:lineRule="exact"/>
        <w:ind w:right="18"/>
        <w:jc w:val="center"/>
        <w:textAlignment w:val="auto"/>
        <w:rPr>
          <w:rFonts w:hint="default" w:ascii="Times New Roman" w:hAnsi="Times New Roman" w:eastAsia="方正小标宋简体" w:cs="Times New Roman"/>
          <w:sz w:val="44"/>
          <w:szCs w:val="44"/>
          <w:lang w:eastAsia="zh-CN"/>
        </w:rPr>
      </w:pPr>
      <w:r>
        <w:rPr>
          <w:rFonts w:hint="eastAsia" w:ascii="Times New Roman" w:hAnsi="Times New Roman" w:eastAsia="方正小标宋简体" w:cs="Times New Roman"/>
          <w:sz w:val="44"/>
          <w:szCs w:val="44"/>
          <w:lang w:eastAsia="zh-CN"/>
        </w:rPr>
        <w:t>十四</w:t>
      </w:r>
      <w:r>
        <w:rPr>
          <w:rFonts w:hint="default" w:ascii="Times New Roman" w:hAnsi="Times New Roman" w:eastAsia="方正小标宋简体" w:cs="Times New Roman"/>
          <w:sz w:val="44"/>
          <w:szCs w:val="44"/>
          <w:lang w:eastAsia="zh-CN"/>
        </w:rPr>
        <w:t>届</w:t>
      </w:r>
      <w:r>
        <w:rPr>
          <w:rFonts w:hint="eastAsia" w:ascii="Times New Roman" w:hAnsi="Times New Roman" w:eastAsia="方正小标宋简体" w:cs="Times New Roman"/>
          <w:sz w:val="44"/>
          <w:szCs w:val="44"/>
          <w:lang w:eastAsia="zh-CN"/>
        </w:rPr>
        <w:t>五</w:t>
      </w:r>
      <w:r>
        <w:rPr>
          <w:rFonts w:hint="default" w:ascii="Times New Roman" w:hAnsi="Times New Roman" w:eastAsia="方正小标宋简体" w:cs="Times New Roman"/>
          <w:sz w:val="44"/>
          <w:szCs w:val="44"/>
          <w:lang w:eastAsia="zh-CN"/>
        </w:rPr>
        <w:t>次会议第</w:t>
      </w:r>
      <w:r>
        <w:rPr>
          <w:rFonts w:hint="eastAsia" w:ascii="Times New Roman" w:hAnsi="Times New Roman" w:eastAsia="方正小标宋简体" w:cs="Times New Roman"/>
          <w:sz w:val="44"/>
          <w:szCs w:val="44"/>
          <w:lang w:val="en-US" w:eastAsia="zh-CN"/>
        </w:rPr>
        <w:t>20260124</w:t>
      </w:r>
      <w:r>
        <w:rPr>
          <w:rFonts w:hint="default" w:ascii="Times New Roman" w:hAnsi="Times New Roman" w:eastAsia="方正小标宋简体" w:cs="Times New Roman"/>
          <w:sz w:val="44"/>
          <w:szCs w:val="44"/>
          <w:lang w:eastAsia="zh-CN"/>
        </w:rPr>
        <w:t>号</w:t>
      </w:r>
    </w:p>
    <w:p w14:paraId="79795E9E">
      <w:pPr>
        <w:keepNext w:val="0"/>
        <w:keepLines w:val="0"/>
        <w:pageBreakBefore w:val="0"/>
        <w:widowControl w:val="0"/>
        <w:kinsoku/>
        <w:wordWrap/>
        <w:overflowPunct/>
        <w:bidi w:val="0"/>
        <w:spacing w:line="600" w:lineRule="exact"/>
        <w:ind w:right="18"/>
        <w:jc w:val="center"/>
        <w:textAlignment w:val="auto"/>
        <w:rPr>
          <w:rFonts w:hint="default"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lang w:eastAsia="zh-CN"/>
        </w:rPr>
        <w:t>提案答复的函</w:t>
      </w:r>
    </w:p>
    <w:p w14:paraId="56921FFB">
      <w:pPr>
        <w:keepNext w:val="0"/>
        <w:keepLines w:val="0"/>
        <w:pageBreakBefore w:val="0"/>
        <w:widowControl w:val="0"/>
        <w:kinsoku/>
        <w:wordWrap/>
        <w:overflowPunct/>
        <w:topLinePunct w:val="0"/>
        <w:autoSpaceDE/>
        <w:autoSpaceDN/>
        <w:bidi w:val="0"/>
        <w:adjustRightInd/>
        <w:snapToGrid/>
        <w:spacing w:line="560" w:lineRule="exact"/>
        <w:ind w:right="-62"/>
        <w:jc w:val="center"/>
        <w:textAlignment w:val="auto"/>
        <w:rPr>
          <w:rFonts w:hint="default" w:ascii="Times New Roman" w:hAnsi="Times New Roman" w:cs="Times New Roman"/>
          <w:szCs w:val="32"/>
        </w:rPr>
      </w:pPr>
    </w:p>
    <w:p w14:paraId="1D054268">
      <w:pPr>
        <w:keepNext w:val="0"/>
        <w:keepLines w:val="0"/>
        <w:pageBreakBefore w:val="0"/>
        <w:widowControl w:val="0"/>
        <w:kinsoku/>
        <w:wordWrap/>
        <w:overflowPunct/>
        <w:topLinePunct w:val="0"/>
        <w:autoSpaceDE/>
        <w:autoSpaceDN/>
        <w:bidi w:val="0"/>
        <w:spacing w:line="560" w:lineRule="exact"/>
        <w:textAlignment w:val="auto"/>
        <w:rPr>
          <w:rFonts w:ascii="Times New Roman" w:hAnsi="Times New Roman" w:eastAsia="仿宋_GB2312"/>
          <w:sz w:val="32"/>
          <w:szCs w:val="32"/>
        </w:rPr>
      </w:pPr>
      <w:r>
        <w:rPr>
          <w:rFonts w:hint="eastAsia" w:ascii="Times New Roman" w:hAnsi="Times New Roman"/>
          <w:sz w:val="32"/>
          <w:szCs w:val="32"/>
          <w:lang w:eastAsia="zh-CN"/>
        </w:rPr>
        <w:t>民革东莞市委员会</w:t>
      </w:r>
      <w:r>
        <w:rPr>
          <w:rFonts w:ascii="Times New Roman" w:hAnsi="Times New Roman" w:eastAsia="仿宋_GB2312"/>
          <w:sz w:val="32"/>
          <w:szCs w:val="32"/>
        </w:rPr>
        <w:t>：</w:t>
      </w:r>
    </w:p>
    <w:p w14:paraId="06D9FC3D">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Times New Roman"/>
          <w:sz w:val="32"/>
          <w:szCs w:val="32"/>
          <w:lang w:eastAsia="zh-CN"/>
        </w:rPr>
      </w:pPr>
      <w:r>
        <w:rPr>
          <w:rFonts w:hint="eastAsia" w:ascii="Times New Roman" w:hAnsi="Times New Roman"/>
          <w:sz w:val="32"/>
          <w:szCs w:val="32"/>
          <w:lang w:eastAsia="zh-CN"/>
        </w:rPr>
        <w:t>贵委</w:t>
      </w:r>
      <w:r>
        <w:rPr>
          <w:rFonts w:hint="eastAsia" w:ascii="Times New Roman" w:hAnsi="Times New Roman" w:eastAsia="仿宋_GB2312"/>
          <w:sz w:val="32"/>
          <w:szCs w:val="32"/>
        </w:rPr>
        <w:t>提出的《关于加强东莞市结建式人防工程维护管理的建议》（第</w:t>
      </w:r>
      <w:r>
        <w:rPr>
          <w:rFonts w:hint="eastAsia" w:ascii="Times New Roman" w:hAnsi="Times New Roman"/>
          <w:sz w:val="32"/>
          <w:szCs w:val="32"/>
          <w:lang w:val="en-US" w:eastAsia="zh-CN"/>
        </w:rPr>
        <w:t>20260124</w:t>
      </w:r>
      <w:r>
        <w:rPr>
          <w:rFonts w:hint="eastAsia" w:ascii="Times New Roman" w:hAnsi="Times New Roman" w:eastAsia="仿宋_GB2312"/>
          <w:sz w:val="32"/>
          <w:szCs w:val="32"/>
        </w:rPr>
        <w:t>号）提案</w:t>
      </w:r>
      <w:r>
        <w:rPr>
          <w:rFonts w:ascii="Times New Roman" w:hAnsi="Times New Roman" w:eastAsia="仿宋_GB2312"/>
          <w:sz w:val="32"/>
          <w:szCs w:val="32"/>
        </w:rPr>
        <w:t>收悉</w:t>
      </w:r>
      <w:r>
        <w:rPr>
          <w:rFonts w:hint="eastAsia" w:ascii="Times New Roman" w:hAnsi="Times New Roman"/>
          <w:sz w:val="32"/>
          <w:szCs w:val="32"/>
          <w:lang w:eastAsia="zh-CN"/>
        </w:rPr>
        <w:t>。衷心感谢贵委对我市结建式人防工程维护管理工作的高度关注、大力支持和精准建言。提案精准剖析了当前我市结建式人防工程存在的短板弱项，问题分析透彻、建议针对性极强，为我市构筑城市防护体系、保障城市安全发展提供了重要的指导和借鉴。我局对此高度重视，立即组织专题研究，</w:t>
      </w:r>
      <w:r>
        <w:rPr>
          <w:rFonts w:hint="eastAsia" w:ascii="Times New Roman" w:hAnsi="Times New Roman" w:eastAsia="仿宋_GB2312" w:cs="Times New Roman"/>
          <w:kern w:val="2"/>
          <w:sz w:val="32"/>
          <w:szCs w:val="32"/>
          <w:highlight w:val="none"/>
          <w:lang w:val="en-US" w:eastAsia="zh-CN"/>
        </w:rPr>
        <w:t>结合我市工作实际，</w:t>
      </w:r>
      <w:r>
        <w:rPr>
          <w:rFonts w:hint="eastAsia" w:ascii="Times New Roman" w:hAnsi="Times New Roman"/>
          <w:sz w:val="32"/>
          <w:szCs w:val="32"/>
          <w:lang w:eastAsia="zh-CN"/>
        </w:rPr>
        <w:t>汇总会办部门意见，现就提案有关建议答复如下</w:t>
      </w:r>
      <w:r>
        <w:rPr>
          <w:rFonts w:hint="eastAsia" w:ascii="Times New Roman" w:hAnsi="Times New Roman" w:eastAsia="仿宋_GB2312" w:cs="Times New Roman"/>
          <w:sz w:val="32"/>
          <w:szCs w:val="32"/>
          <w:lang w:eastAsia="zh-CN"/>
        </w:rPr>
        <w:t>：</w:t>
      </w:r>
    </w:p>
    <w:p w14:paraId="17C45521">
      <w:pPr>
        <w:keepNext w:val="0"/>
        <w:keepLines w:val="0"/>
        <w:pageBreakBefore w:val="0"/>
        <w:widowControl w:val="0"/>
        <w:numPr>
          <w:ilvl w:val="0"/>
          <w:numId w:val="2"/>
        </w:numPr>
        <w:kinsoku/>
        <w:wordWrap/>
        <w:overflowPunct/>
        <w:topLinePunct w:val="0"/>
        <w:autoSpaceDE/>
        <w:autoSpaceDN/>
        <w:bidi w:val="0"/>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关于</w:t>
      </w:r>
      <w:r>
        <w:rPr>
          <w:rFonts w:hint="eastAsia" w:ascii="黑体" w:hAnsi="黑体" w:eastAsia="黑体" w:cs="黑体"/>
          <w:sz w:val="32"/>
          <w:szCs w:val="32"/>
          <w:lang w:val="en-US" w:eastAsia="zh-CN"/>
        </w:rPr>
        <w:t>构建权责清晰、闭环联动管理体系</w:t>
      </w:r>
      <w:bookmarkStart w:id="1" w:name="_GoBack"/>
      <w:bookmarkEnd w:id="1"/>
      <w:r>
        <w:rPr>
          <w:rFonts w:hint="eastAsia" w:ascii="黑体" w:hAnsi="黑体" w:eastAsia="黑体" w:cs="黑体"/>
          <w:sz w:val="32"/>
          <w:szCs w:val="32"/>
          <w:lang w:val="en-US" w:eastAsia="zh-CN"/>
        </w:rPr>
        <w:t>的建议</w:t>
      </w:r>
    </w:p>
    <w:p w14:paraId="2EEC8067">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cs="Times New Roman"/>
          <w:sz w:val="32"/>
          <w:szCs w:val="32"/>
          <w:lang w:val="en-US" w:eastAsia="zh-CN"/>
        </w:rPr>
      </w:pPr>
      <w:r>
        <w:rPr>
          <w:rFonts w:hint="eastAsia" w:ascii="Times New Roman" w:hAnsi="Times New Roman"/>
          <w:sz w:val="32"/>
          <w:szCs w:val="32"/>
          <w:lang w:val="en-US" w:eastAsia="zh-CN"/>
        </w:rPr>
        <w:t>根据《中华人民共和国人民防空法》《人民防空工程维护管理办法》，人民防空工程包括单独修建的地下防护建筑以及结合地面建筑修建的战时可用于防空的地下室。</w:t>
      </w:r>
      <w:r>
        <w:rPr>
          <w:rFonts w:hint="eastAsia" w:ascii="Times New Roman" w:hAnsi="Times New Roman" w:cs="Times New Roman"/>
          <w:sz w:val="32"/>
          <w:szCs w:val="32"/>
          <w:lang w:val="en-US" w:eastAsia="zh-CN"/>
        </w:rPr>
        <w:t>据了解，</w:t>
      </w:r>
      <w:r>
        <w:rPr>
          <w:rFonts w:hint="eastAsia" w:ascii="Times New Roman" w:hAnsi="Times New Roman"/>
          <w:sz w:val="32"/>
          <w:szCs w:val="32"/>
          <w:lang w:val="en-US" w:eastAsia="zh-CN"/>
        </w:rPr>
        <w:t>目前国家、省、市层面尚未出台针对结建式人防工程的专项维护管理政策文件，相关工作通常由省、市政府或人防主管部门通过出台综合性人民防空工程维护管理政策文件予以规范，</w:t>
      </w:r>
      <w:r>
        <w:rPr>
          <w:rFonts w:hint="eastAsia" w:ascii="Times New Roman" w:hAnsi="Times New Roman" w:cs="Times New Roman"/>
          <w:sz w:val="32"/>
          <w:szCs w:val="32"/>
          <w:lang w:val="en-US" w:eastAsia="zh-CN"/>
        </w:rPr>
        <w:t>如《山西省人民防空工程维护和使用管理办法》《上海市民防工程使用和维护管理规定》《佛山市人民防空工程维护管理办法》等。</w:t>
      </w:r>
    </w:p>
    <w:p w14:paraId="46FC66D7">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sz w:val="32"/>
          <w:szCs w:val="32"/>
          <w:lang w:val="en-US" w:eastAsia="zh-CN"/>
        </w:rPr>
      </w:pPr>
      <w:r>
        <w:rPr>
          <w:rFonts w:hint="eastAsia" w:ascii="Times New Roman" w:hAnsi="Times New Roman"/>
          <w:sz w:val="32"/>
          <w:szCs w:val="32"/>
          <w:lang w:val="en-US" w:eastAsia="zh-CN"/>
        </w:rPr>
        <w:t>2023年，市委军民融合办牵头修订形成《东莞市人民防空管理办法（修订）》，初步明确了市人防部门与住建部门的职责分工。我局依职责负责“按照标准要求指导实施结建式人防工程土建、排水防涝、环境卫生等的日常维护管理”，已制定《东莞市住建系统结建式人防工程日常维护管理监督检查实用手册》，开展业务培训活动及监督抽查，指导各有关单位按照《广东省结建式人防工程土建、排水防涝、环境卫生等日常维护管理标准》，做好结建式人防工程日常维护管理工作。</w:t>
      </w:r>
    </w:p>
    <w:p w14:paraId="042AE021">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cs="Times New Roman"/>
          <w:sz w:val="32"/>
          <w:szCs w:val="32"/>
          <w:lang w:val="en-US" w:eastAsia="zh-CN"/>
        </w:rPr>
      </w:pPr>
      <w:r>
        <w:rPr>
          <w:rFonts w:hint="eastAsia" w:ascii="Times New Roman" w:hAnsi="Times New Roman"/>
          <w:sz w:val="32"/>
          <w:szCs w:val="32"/>
          <w:lang w:val="en-US" w:eastAsia="zh-CN"/>
        </w:rPr>
        <w:t>下一步，我局将持续配合市委军民融合办推进《东莞市人民防空管理办法》修订工作，建议在第四章“人民防空工程和设施的使用与维护”中，进一步明确部门、属地政府、建设使用单位的权责，要求人民防空工程维护管理责任单位建立健全岗位责任、定期检查、维修保养、消防管理、档案管理等相关制度及突发事件应急预案，按照有关标准规范落实维护保养措施，明确责任主体缺失、维护资金不足等特殊情况的应急接管机制，确保工程维护管理不缺位，构建“权责清晰、分工明确、协同联动、闭环管理”的工作体系。同时，我局将健全完善相关管理制度，细化结建式人防工程土建、排水防涝、环境卫生等日常维护管理流程，将日常巡查、定期检修、隐患排查整改等环节纳入制度化管理，推动结建式人防工程维护管理规范化、标准化，持续完善管理体系建设</w:t>
      </w:r>
      <w:r>
        <w:rPr>
          <w:rFonts w:hint="eastAsia" w:ascii="Times New Roman" w:hAnsi="Times New Roman" w:cs="Times New Roman"/>
          <w:sz w:val="32"/>
          <w:szCs w:val="32"/>
          <w:lang w:val="en-US" w:eastAsia="zh-CN"/>
        </w:rPr>
        <w:t>。</w:t>
      </w:r>
    </w:p>
    <w:p w14:paraId="47213E93">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二、关于</w:t>
      </w:r>
      <w:r>
        <w:rPr>
          <w:rFonts w:hint="eastAsia" w:ascii="黑体" w:hAnsi="黑体" w:eastAsia="黑体" w:cs="黑体"/>
          <w:sz w:val="32"/>
          <w:szCs w:val="32"/>
          <w:lang w:val="en-US" w:eastAsia="zh-CN"/>
        </w:rPr>
        <w:t>建立制度化、可持续的资金保障机制的建议</w:t>
      </w:r>
    </w:p>
    <w:p w14:paraId="558FDAE4">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根据《</w:t>
      </w:r>
      <w:r>
        <w:rPr>
          <w:rFonts w:hint="eastAsia" w:ascii="Times New Roman" w:hAnsi="Times New Roman"/>
          <w:sz w:val="32"/>
          <w:szCs w:val="32"/>
          <w:lang w:val="en-US" w:eastAsia="zh-CN"/>
        </w:rPr>
        <w:t>中华人民共和国</w:t>
      </w:r>
      <w:r>
        <w:rPr>
          <w:rFonts w:hint="eastAsia" w:ascii="Times New Roman" w:hAnsi="Times New Roman" w:cs="Times New Roman"/>
          <w:sz w:val="32"/>
          <w:szCs w:val="32"/>
          <w:lang w:val="en-US" w:eastAsia="zh-CN"/>
        </w:rPr>
        <w:t>人民防空法》《人民防空工程维护管理办法》，县级以上地方各级人民政府负担的人民防空经费，列入地方各级预算；有关单位应当按照国家规定负担人民防空费用。据了解，目前国家、省、市层面尚未出台针对结建式人防工程的专项维护资金管理政策文件，部分省、市在综合性人防工程使用和维护管理规定中，对维护经费来源有相关规定，为我市提供了有益借鉴。如《上海市民防工程使用和维护管理规定》规定“公用民防工程由市或区民防管理部门负责维护管理，维护管理的经费由同级财政予以安排。其他民防工程实行使用和维护管理责任人制度，所有权人、投资人、使用人或其委托人是使用和维护管理责任人，负责民防工程的维护管理，并接受市或区民防管理部门的监督检查”；《山西省人民防空工程维护和使用管理办法》规定“单位人民防空工程所需的经费，由工程隶属单位承担；防空地下室所需的经费，由工程的所有者承担；平时开发利用的人民防空工程所需的经费，由工程的使用者承担”；《佛山市人民防空工程维护管理办法》划分了各类人防工程的维护管理责任及经费承担主体，其中结合民用建筑修建的防空地下室，由投资者负责维护管理并承担维护费用；《深圳市实施〈中华人民共和国人民防空法〉办法》规定，公用人民防空工程、指挥工程等的建设和维护管理经费由市、区人民政府负担并列入本级财政预算，人民防空工程日常维护管理经费由使用单位负担。</w:t>
      </w:r>
    </w:p>
    <w:p w14:paraId="574CEA49">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鉴于结建式人防工程作为人防工程的重要组成部分，其维护管理及资金保障应遵循人民防空管理相关法律法规及政策文件规定执行。2023年，市</w:t>
      </w:r>
      <w:r>
        <w:rPr>
          <w:rFonts w:hint="eastAsia" w:ascii="Times New Roman" w:hAnsi="Times New Roman"/>
          <w:sz w:val="32"/>
          <w:szCs w:val="32"/>
          <w:lang w:val="en-US" w:eastAsia="zh-CN"/>
        </w:rPr>
        <w:t>委军民融合办</w:t>
      </w:r>
      <w:r>
        <w:rPr>
          <w:rFonts w:hint="eastAsia" w:ascii="Times New Roman" w:hAnsi="Times New Roman" w:cs="Times New Roman"/>
          <w:sz w:val="32"/>
          <w:szCs w:val="32"/>
          <w:lang w:val="en-US" w:eastAsia="zh-CN"/>
        </w:rPr>
        <w:t>牵头修订的《东莞市人民防空管理办法（修订）》第十九条明确“防空地下室易地建设费应当纳入财政专户，实行收支两条线管理，专款用于人民防空工程设施的建设、维护和管理”，为我市结建式人防工程维护资金保障提供了政策支撑。</w:t>
      </w:r>
    </w:p>
    <w:p w14:paraId="3B5E3A47">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Times New Roman" w:hAnsi="Times New Roman" w:cs="Times New Roman"/>
          <w:sz w:val="32"/>
          <w:szCs w:val="32"/>
          <w:lang w:val="en-US" w:eastAsia="zh-CN"/>
        </w:rPr>
      </w:pPr>
      <w:r>
        <w:rPr>
          <w:rFonts w:hint="eastAsia" w:ascii="Times New Roman" w:hAnsi="Times New Roman" w:cs="Times New Roman"/>
          <w:sz w:val="32"/>
          <w:szCs w:val="32"/>
          <w:lang w:val="en-US" w:eastAsia="zh-CN"/>
        </w:rPr>
        <w:t>下一步，我局将继续配合</w:t>
      </w:r>
      <w:r>
        <w:rPr>
          <w:rFonts w:hint="eastAsia" w:ascii="Times New Roman" w:hAnsi="Times New Roman"/>
          <w:sz w:val="32"/>
          <w:szCs w:val="32"/>
          <w:lang w:val="en-US" w:eastAsia="zh-CN"/>
        </w:rPr>
        <w:t>市委军民融合办</w:t>
      </w:r>
      <w:r>
        <w:rPr>
          <w:rFonts w:hint="eastAsia" w:ascii="Times New Roman" w:hAnsi="Times New Roman" w:cs="Times New Roman"/>
          <w:sz w:val="32"/>
          <w:szCs w:val="32"/>
          <w:lang w:val="en-US" w:eastAsia="zh-CN"/>
        </w:rPr>
        <w:t>推进《东莞市人民防空管理办法》修订工作，建议在第四章“人民防空工程和设施的使用与维护”，明确结建式人防工程维护管理费用的解决路径，研究探索建立资金管理长效机制，积极配合探索结建式人防工程维护管理费用配套政策。同时探索“以商养防”模式，在严格保障人防工程战时防护功能的前提下，鼓励对结建式人防工程进行合理开发利用，将开发利用收益优先用于工程维护管理，拓宽资金保障渠道。</w:t>
      </w:r>
    </w:p>
    <w:p w14:paraId="44C5717B">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三、关于打造智慧化运维</w:t>
      </w:r>
      <w:r>
        <w:rPr>
          <w:rFonts w:hint="eastAsia" w:ascii="黑体" w:hAnsi="黑体" w:eastAsia="黑体" w:cs="黑体"/>
          <w:sz w:val="32"/>
          <w:szCs w:val="32"/>
          <w:lang w:val="en-US" w:eastAsia="zh-CN"/>
        </w:rPr>
        <w:t>监管平台的建议</w:t>
      </w:r>
    </w:p>
    <w:p w14:paraId="5FB8E8CD">
      <w:pPr>
        <w:pStyle w:val="18"/>
        <w:ind w:firstLine="640" w:firstLineChars="200"/>
        <w:jc w:val="both"/>
        <w:rPr>
          <w:rFonts w:hint="eastAsia" w:ascii="Times New Roman" w:hAnsi="Times New Roman" w:eastAsia="仿宋_GB2312" w:cs="Times New Roman"/>
          <w:b w:val="0"/>
          <w:bCs w:val="0"/>
          <w:kern w:val="2"/>
          <w:sz w:val="32"/>
          <w:szCs w:val="32"/>
          <w:lang w:val="en-US" w:eastAsia="zh-CN" w:bidi="ar-SA"/>
        </w:rPr>
      </w:pPr>
      <w:r>
        <w:rPr>
          <w:rFonts w:hint="eastAsia" w:ascii="Times New Roman" w:hAnsi="Times New Roman" w:eastAsia="仿宋_GB2312" w:cs="Times New Roman"/>
          <w:b w:val="0"/>
          <w:bCs w:val="0"/>
          <w:kern w:val="2"/>
          <w:sz w:val="32"/>
          <w:szCs w:val="32"/>
          <w:lang w:val="en-US" w:eastAsia="zh-CN" w:bidi="ar-SA"/>
        </w:rPr>
        <w:t>我局已完成城市信息模型（CIM）基础平台建设，初步构建覆盖全市约160万栋涵盖建筑物业务属性、物理属性以及用途属性的全市房屋台账，同步推进CIM+应用开发，以工程项目为主线，整合收集项目立项、规划、设计、建设、管理全生命周期各类关键信息，以住房管理为切入点，接入房屋交易、住房保障管理以及物业维修资金管理等应用专题，保障住房设施的日常维护安全。</w:t>
      </w:r>
    </w:p>
    <w:p w14:paraId="4973F2FA">
      <w:pPr>
        <w:pStyle w:val="18"/>
        <w:ind w:firstLine="640" w:firstLineChars="200"/>
        <w:jc w:val="both"/>
        <w:rPr>
          <w:rFonts w:hint="eastAsia" w:ascii="Times New Roman" w:hAnsi="Times New Roman" w:eastAsia="仿宋_GB2312" w:cs="Times New Roman"/>
          <w:b w:val="0"/>
          <w:bCs w:val="0"/>
          <w:kern w:val="2"/>
          <w:sz w:val="32"/>
          <w:szCs w:val="32"/>
          <w:lang w:val="en-US" w:eastAsia="zh-CN" w:bidi="ar-SA"/>
        </w:rPr>
      </w:pPr>
      <w:r>
        <w:rPr>
          <w:rFonts w:hint="eastAsia" w:ascii="Times New Roman" w:hAnsi="Times New Roman" w:eastAsia="仿宋_GB2312" w:cs="Times New Roman"/>
          <w:b w:val="0"/>
          <w:bCs w:val="0"/>
          <w:kern w:val="2"/>
          <w:sz w:val="32"/>
          <w:szCs w:val="32"/>
          <w:lang w:val="en-US" w:eastAsia="zh-CN" w:bidi="ar-SA"/>
        </w:rPr>
        <w:t>下一步，我局将依托CIM基础平台，研究构建结建式人防维护管理应用专题的可行性，探索通过“一工程一档案”管理模式，收集录入结建式人防工程的建设信息、维护信息、隐患整改等相关数据，建立动态更新机制。以房屋主体结构安全为重点开展房屋安全体检，建立“</w:t>
      </w:r>
      <w:r>
        <w:rPr>
          <w:rFonts w:hint="default" w:ascii="Times New Roman" w:hAnsi="Times New Roman" w:eastAsia="仿宋_GB2312" w:cs="Times New Roman"/>
          <w:b w:val="0"/>
          <w:bCs w:val="0"/>
          <w:kern w:val="2"/>
          <w:sz w:val="32"/>
          <w:szCs w:val="32"/>
          <w:lang w:val="en-US" w:eastAsia="zh-CN" w:bidi="ar-SA"/>
        </w:rPr>
        <w:t>巡检</w:t>
      </w:r>
      <w:r>
        <w:rPr>
          <w:rFonts w:hint="eastAsia" w:ascii="Times New Roman" w:hAnsi="Times New Roman" w:eastAsia="仿宋_GB2312" w:cs="Times New Roman"/>
          <w:b w:val="0"/>
          <w:bCs w:val="0"/>
          <w:kern w:val="2"/>
          <w:sz w:val="32"/>
          <w:szCs w:val="32"/>
          <w:lang w:val="en-US" w:eastAsia="zh-CN" w:bidi="ar-SA"/>
        </w:rPr>
        <w:t>+体检+鉴定”</w:t>
      </w:r>
      <w:r>
        <w:rPr>
          <w:rFonts w:hint="default" w:ascii="Times New Roman" w:hAnsi="Times New Roman" w:eastAsia="仿宋_GB2312" w:cs="Times New Roman"/>
          <w:b w:val="0"/>
          <w:bCs w:val="0"/>
          <w:kern w:val="2"/>
          <w:sz w:val="32"/>
          <w:szCs w:val="32"/>
          <w:lang w:val="en-US" w:eastAsia="zh-CN" w:bidi="ar-SA"/>
        </w:rPr>
        <w:t>递进式</w:t>
      </w:r>
      <w:r>
        <w:rPr>
          <w:rFonts w:hint="eastAsia" w:ascii="Times New Roman" w:hAnsi="Times New Roman" w:eastAsia="仿宋_GB2312" w:cs="Times New Roman"/>
          <w:b w:val="0"/>
          <w:bCs w:val="0"/>
          <w:kern w:val="2"/>
          <w:sz w:val="32"/>
          <w:szCs w:val="32"/>
          <w:lang w:val="en-US" w:eastAsia="zh-CN" w:bidi="ar-SA"/>
        </w:rPr>
        <w:t>房屋体检模式，提升隐患排查精准度。加强与市委军民融合办等部门的数据共享、协同联动，推动结建式人防工程管护从“被动维修”向“主动维护”转变，推动安全隐患从“被动处置”向“主动防控”转变，全面提升结建式人防工程智慧化运维监管水平。</w:t>
      </w:r>
    </w:p>
    <w:p w14:paraId="7A5254A9">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四、关于开展</w:t>
      </w:r>
      <w:r>
        <w:rPr>
          <w:rFonts w:hint="eastAsia" w:ascii="黑体" w:hAnsi="黑体" w:eastAsia="黑体" w:cs="黑体"/>
          <w:sz w:val="32"/>
          <w:szCs w:val="32"/>
          <w:lang w:val="en-US" w:eastAsia="zh-CN"/>
        </w:rPr>
        <w:t>常态化公众参与培训的建议</w:t>
      </w:r>
    </w:p>
    <w:p w14:paraId="6F1255DE">
      <w:pPr>
        <w:pStyle w:val="18"/>
        <w:ind w:firstLine="640" w:firstLineChars="200"/>
        <w:jc w:val="both"/>
        <w:rPr>
          <w:rFonts w:hint="eastAsia" w:ascii="Times New Roman" w:hAnsi="Times New Roman" w:eastAsia="仿宋_GB2312" w:cs="Times New Roman"/>
          <w:b w:val="0"/>
          <w:bCs w:val="0"/>
          <w:sz w:val="32"/>
          <w:szCs w:val="32"/>
          <w:lang w:val="en-US" w:eastAsia="zh-CN"/>
        </w:rPr>
      </w:pPr>
      <w:r>
        <w:rPr>
          <w:rFonts w:hint="eastAsia" w:ascii="Times New Roman" w:hAnsi="Times New Roman" w:eastAsia="仿宋_GB2312" w:cs="Times New Roman"/>
          <w:b w:val="0"/>
          <w:bCs w:val="0"/>
          <w:kern w:val="2"/>
          <w:sz w:val="32"/>
          <w:szCs w:val="32"/>
          <w:lang w:val="en-US" w:eastAsia="zh-CN" w:bidi="ar-SA"/>
        </w:rPr>
        <w:t>市委军民融合办</w:t>
      </w:r>
      <w:r>
        <w:rPr>
          <w:rFonts w:hint="eastAsia" w:ascii="Times New Roman" w:hAnsi="Times New Roman" w:eastAsia="仿宋_GB2312" w:cs="Times New Roman"/>
          <w:b w:val="0"/>
          <w:bCs w:val="0"/>
          <w:sz w:val="32"/>
          <w:szCs w:val="32"/>
          <w:lang w:val="en-US" w:eastAsia="zh-CN"/>
        </w:rPr>
        <w:t>常态化开展全民国防人防宣传教育。联合市委宣传部举办东莞市国防动员宣传周活动，开展国防动员、人防宣传教育“五进”（</w:t>
      </w:r>
      <w:r>
        <w:rPr>
          <w:rFonts w:hint="eastAsia" w:ascii="Times New Roman" w:hAnsi="Times New Roman" w:eastAsia="仿宋_GB2312" w:cs="Times New Roman"/>
          <w:b w:val="0"/>
          <w:bCs w:val="0"/>
          <w:kern w:val="2"/>
          <w:sz w:val="32"/>
          <w:szCs w:val="32"/>
          <w:lang w:val="en-US" w:eastAsia="zh-CN" w:bidi="ar-SA"/>
        </w:rPr>
        <w:t>进社区、进校园、进企业、进机关、进网络</w:t>
      </w:r>
      <w:r>
        <w:rPr>
          <w:rFonts w:hint="eastAsia" w:ascii="Times New Roman" w:hAnsi="Times New Roman" w:eastAsia="仿宋_GB2312" w:cs="Times New Roman"/>
          <w:b w:val="0"/>
          <w:bCs w:val="0"/>
          <w:sz w:val="32"/>
          <w:szCs w:val="32"/>
          <w:lang w:val="en-US" w:eastAsia="zh-CN"/>
        </w:rPr>
        <w:t>）系列活动，参加全国防灾减灾日活动，派发宣传小册子，现场回应疑问咨询，发布系列宣传推文，通过多种形式提升公众对人防工作的认知水平。开展人防工程标识牌专项整治行动、人防设备企业生产质量安全监督检查、人防设备生产企业专项安全培训和安全检查、消防应急安全培训及演练、设备设施运行操作实践，提升人防设备生产企业的业务技能和应急处置能力</w:t>
      </w:r>
      <w:r>
        <w:rPr>
          <w:rFonts w:hint="eastAsia" w:ascii="Times New Roman" w:eastAsia="仿宋_GB2312" w:cs="Times New Roman"/>
          <w:b w:val="0"/>
          <w:bCs w:val="0"/>
          <w:sz w:val="32"/>
          <w:szCs w:val="32"/>
          <w:lang w:val="en-US" w:eastAsia="zh-CN"/>
        </w:rPr>
        <w:t>，</w:t>
      </w:r>
      <w:r>
        <w:rPr>
          <w:rFonts w:hint="eastAsia" w:ascii="Times New Roman" w:hAnsi="Times New Roman" w:eastAsia="仿宋_GB2312" w:cs="Times New Roman"/>
          <w:b w:val="0"/>
          <w:bCs w:val="0"/>
          <w:sz w:val="32"/>
          <w:szCs w:val="32"/>
          <w:lang w:val="en-US" w:eastAsia="zh-CN"/>
        </w:rPr>
        <w:t>提升人防行业整体安全管理和维护作业水平。</w:t>
      </w:r>
    </w:p>
    <w:p w14:paraId="2A5A18E3">
      <w:pPr>
        <w:pStyle w:val="18"/>
        <w:ind w:firstLine="640" w:firstLineChars="200"/>
        <w:jc w:val="both"/>
        <w:rPr>
          <w:rFonts w:hint="eastAsia" w:ascii="Times New Roman" w:hAnsi="Times New Roman" w:cs="Times New Roman"/>
          <w:b w:val="0"/>
          <w:bCs w:val="0"/>
          <w:sz w:val="32"/>
          <w:szCs w:val="32"/>
          <w:lang w:val="en-US" w:eastAsia="zh-CN"/>
        </w:rPr>
      </w:pPr>
      <w:r>
        <w:rPr>
          <w:rFonts w:hint="eastAsia" w:ascii="Times New Roman" w:hAnsi="Times New Roman" w:eastAsia="仿宋_GB2312" w:cs="Times New Roman"/>
          <w:b w:val="0"/>
          <w:bCs w:val="0"/>
          <w:sz w:val="32"/>
          <w:szCs w:val="32"/>
          <w:lang w:val="en-US" w:eastAsia="zh-CN"/>
        </w:rPr>
        <w:t>我局结合自身职责，对各镇街（园区）住建部门、结建式人防工程参建单位，开展结建式人防工程质量管理培训，提高工程管理能力。通过官方网站及“莞e住建”微信小程序发布了“房屋请勿擅自改建、扩建”“房屋使用功能勿擅自改变”“房屋安全自检自查”等既有建筑安全科普系列视频，以及“建筑主体结构安全”“围护结构安全”等系列宣传海报，由各镇街（园区）住房城乡建设部门结合线上、线下多种形式，群众既有房屋结构安全管理意识，引导群众</w:t>
      </w:r>
      <w:r>
        <w:rPr>
          <w:rFonts w:hint="eastAsia" w:eastAsia="仿宋_GB2312" w:cs="Times New Roman"/>
          <w:b w:val="0"/>
          <w:bCs w:val="0"/>
          <w:sz w:val="32"/>
          <w:szCs w:val="32"/>
          <w:lang w:val="en-US" w:eastAsia="zh-CN"/>
        </w:rPr>
        <w:t>参与</w:t>
      </w:r>
      <w:r>
        <w:rPr>
          <w:rFonts w:hint="eastAsia" w:ascii="Times New Roman" w:hAnsi="Times New Roman" w:eastAsia="仿宋_GB2312" w:cs="Times New Roman"/>
          <w:b w:val="0"/>
          <w:bCs w:val="0"/>
          <w:sz w:val="32"/>
          <w:szCs w:val="32"/>
          <w:lang w:val="en-US" w:eastAsia="zh-CN"/>
        </w:rPr>
        <w:t>结建式人防工程等既有房屋结构安全管理工作。</w:t>
      </w:r>
    </w:p>
    <w:p w14:paraId="78DC386D">
      <w:pPr>
        <w:pStyle w:val="20"/>
        <w:numPr>
          <w:ilvl w:val="0"/>
          <w:numId w:val="0"/>
        </w:numPr>
        <w:spacing w:line="600" w:lineRule="exact"/>
        <w:ind w:firstLine="640" w:firstLineChars="200"/>
        <w:jc w:val="left"/>
        <w:rPr>
          <w:rFonts w:hint="eastAsia" w:ascii="Times New Roman" w:hAnsi="Times New Roman" w:eastAsia="仿宋_GB2312" w:cs="Times New Roman"/>
          <w:b w:val="0"/>
          <w:bCs w:val="0"/>
          <w:kern w:val="2"/>
          <w:sz w:val="32"/>
          <w:szCs w:val="32"/>
          <w:lang w:val="en-US" w:eastAsia="zh-CN" w:bidi="ar-SA"/>
        </w:rPr>
      </w:pPr>
      <w:r>
        <w:rPr>
          <w:rFonts w:hint="eastAsia" w:ascii="Times New Roman" w:hAnsi="Times New Roman" w:eastAsia="仿宋_GB2312" w:cs="Times New Roman"/>
          <w:b w:val="0"/>
          <w:bCs w:val="0"/>
          <w:kern w:val="2"/>
          <w:sz w:val="32"/>
          <w:szCs w:val="32"/>
          <w:lang w:val="en-US" w:eastAsia="zh-CN" w:bidi="ar-SA"/>
        </w:rPr>
        <w:t>下一步，我局将加强与市委宣传部、市委军民融合办等部门协作，联动各镇街（园区），建立常态化宣传教育工作机制，切实提升全社会对结建式人防工程维护管理工作的知晓度和参与度，结合“防灾减灾日”</w:t>
      </w:r>
      <w:r>
        <w:rPr>
          <w:rFonts w:hint="eastAsia" w:ascii="Times New Roman" w:eastAsia="仿宋_GB2312" w:cs="Times New Roman"/>
          <w:b w:val="0"/>
          <w:bCs w:val="0"/>
          <w:kern w:val="2"/>
          <w:sz w:val="32"/>
          <w:szCs w:val="32"/>
          <w:lang w:val="en-US" w:eastAsia="zh-CN" w:bidi="ar-SA"/>
        </w:rPr>
        <w:t>“安全生产月”“质量月”等</w:t>
      </w:r>
      <w:r>
        <w:rPr>
          <w:rFonts w:hint="eastAsia" w:ascii="Times New Roman" w:hAnsi="Times New Roman" w:eastAsia="仿宋_GB2312" w:cs="Times New Roman"/>
          <w:b w:val="0"/>
          <w:bCs w:val="0"/>
          <w:sz w:val="32"/>
          <w:szCs w:val="32"/>
          <w:lang w:val="en-US" w:eastAsia="zh-CN"/>
        </w:rPr>
        <w:t>活动</w:t>
      </w:r>
      <w:r>
        <w:rPr>
          <w:rFonts w:hint="eastAsia" w:ascii="Times New Roman" w:eastAsia="仿宋_GB2312" w:cs="Times New Roman"/>
          <w:b w:val="0"/>
          <w:bCs w:val="0"/>
          <w:sz w:val="32"/>
          <w:szCs w:val="32"/>
          <w:lang w:val="en-US" w:eastAsia="zh-CN"/>
        </w:rPr>
        <w:t>及应急演练</w:t>
      </w:r>
      <w:r>
        <w:rPr>
          <w:rFonts w:hint="eastAsia" w:ascii="Times New Roman" w:hAnsi="Times New Roman" w:eastAsia="仿宋_GB2312" w:cs="Times New Roman"/>
          <w:b w:val="0"/>
          <w:bCs w:val="0"/>
          <w:kern w:val="2"/>
          <w:sz w:val="32"/>
          <w:szCs w:val="32"/>
          <w:lang w:val="en-US" w:eastAsia="zh-CN" w:bidi="ar-SA"/>
        </w:rPr>
        <w:t>，开展形式多样</w:t>
      </w:r>
      <w:r>
        <w:rPr>
          <w:rFonts w:hint="eastAsia" w:ascii="Times New Roman" w:eastAsia="仿宋_GB2312" w:cs="Times New Roman"/>
          <w:b w:val="0"/>
          <w:bCs w:val="0"/>
          <w:kern w:val="2"/>
          <w:sz w:val="32"/>
          <w:szCs w:val="32"/>
          <w:lang w:val="en-US" w:eastAsia="zh-CN" w:bidi="ar-SA"/>
        </w:rPr>
        <w:t>、内容丰富的</w:t>
      </w:r>
      <w:r>
        <w:rPr>
          <w:rFonts w:hint="eastAsia" w:ascii="Times New Roman" w:hAnsi="Times New Roman" w:eastAsia="仿宋_GB2312" w:cs="Times New Roman"/>
          <w:b w:val="0"/>
          <w:bCs w:val="0"/>
          <w:kern w:val="2"/>
          <w:sz w:val="32"/>
          <w:szCs w:val="32"/>
          <w:lang w:val="en-US" w:eastAsia="zh-CN" w:bidi="ar-SA"/>
        </w:rPr>
        <w:t>的宣传教育活动，普及人防工程维护管理知识和法律责任</w:t>
      </w:r>
      <w:r>
        <w:rPr>
          <w:rFonts w:hint="eastAsia" w:ascii="Times New Roman" w:eastAsia="仿宋_GB2312" w:cs="Times New Roman"/>
          <w:b w:val="0"/>
          <w:bCs w:val="0"/>
          <w:kern w:val="2"/>
          <w:sz w:val="32"/>
          <w:szCs w:val="32"/>
          <w:lang w:val="en-US" w:eastAsia="zh-CN" w:bidi="ar-SA"/>
        </w:rPr>
        <w:t>。</w:t>
      </w:r>
      <w:r>
        <w:rPr>
          <w:rFonts w:hint="eastAsia" w:ascii="Times New Roman" w:hAnsi="Times New Roman" w:eastAsia="仿宋_GB2312" w:cs="Times New Roman"/>
          <w:b w:val="0"/>
          <w:bCs w:val="0"/>
          <w:kern w:val="2"/>
          <w:sz w:val="32"/>
          <w:szCs w:val="32"/>
          <w:lang w:val="en-US" w:eastAsia="zh-CN" w:bidi="ar-SA"/>
        </w:rPr>
        <w:t>市委军民融合办</w:t>
      </w:r>
      <w:r>
        <w:rPr>
          <w:rFonts w:hint="eastAsia" w:ascii="Times New Roman" w:eastAsia="仿宋_GB2312" w:cs="Times New Roman"/>
          <w:b w:val="0"/>
          <w:bCs w:val="0"/>
          <w:kern w:val="2"/>
          <w:sz w:val="32"/>
          <w:szCs w:val="32"/>
          <w:lang w:val="en-US" w:eastAsia="zh-CN" w:bidi="ar-SA"/>
        </w:rPr>
        <w:t>将</w:t>
      </w:r>
      <w:r>
        <w:rPr>
          <w:rFonts w:hint="eastAsia" w:ascii="Times New Roman" w:hAnsi="Times New Roman" w:eastAsia="仿宋_GB2312" w:cs="Times New Roman"/>
          <w:sz w:val="32"/>
          <w:szCs w:val="32"/>
          <w:lang w:val="en-US" w:eastAsia="zh-CN"/>
        </w:rPr>
        <w:t>集中开展人防宣传教育活动</w:t>
      </w:r>
      <w:r>
        <w:rPr>
          <w:rFonts w:hint="eastAsia" w:ascii="Times New Roman" w:eastAsia="仿宋_GB2312" w:cs="Times New Roman"/>
          <w:sz w:val="32"/>
          <w:szCs w:val="32"/>
          <w:lang w:val="en-US" w:eastAsia="zh-CN"/>
        </w:rPr>
        <w:t>，</w:t>
      </w:r>
      <w:r>
        <w:rPr>
          <w:rFonts w:hint="eastAsia" w:ascii="Times New Roman" w:hAnsi="Times New Roman" w:eastAsia="仿宋_GB2312" w:cs="Times New Roman"/>
          <w:b w:val="0"/>
          <w:bCs w:val="0"/>
          <w:kern w:val="2"/>
          <w:sz w:val="32"/>
          <w:szCs w:val="32"/>
          <w:lang w:val="en-US" w:eastAsia="zh-CN" w:bidi="ar-SA"/>
        </w:rPr>
        <w:t>持续深化</w:t>
      </w:r>
      <w:r>
        <w:rPr>
          <w:rFonts w:hint="eastAsia" w:ascii="Times New Roman" w:eastAsia="仿宋_GB2312" w:cs="Times New Roman"/>
          <w:b w:val="0"/>
          <w:bCs w:val="0"/>
          <w:kern w:val="2"/>
          <w:sz w:val="32"/>
          <w:szCs w:val="32"/>
          <w:lang w:val="en-US" w:eastAsia="zh-CN" w:bidi="ar-SA"/>
        </w:rPr>
        <w:t>“</w:t>
      </w:r>
      <w:r>
        <w:rPr>
          <w:rFonts w:hint="eastAsia" w:ascii="Times New Roman" w:hAnsi="Times New Roman" w:eastAsia="仿宋_GB2312" w:cs="Times New Roman"/>
          <w:b w:val="0"/>
          <w:bCs w:val="0"/>
          <w:kern w:val="2"/>
          <w:sz w:val="32"/>
          <w:szCs w:val="32"/>
          <w:lang w:val="en-US" w:eastAsia="zh-CN" w:bidi="ar-SA"/>
        </w:rPr>
        <w:t>五进</w:t>
      </w:r>
      <w:r>
        <w:rPr>
          <w:rFonts w:hint="eastAsia" w:ascii="Times New Roman" w:eastAsia="仿宋_GB2312" w:cs="Times New Roman"/>
          <w:b w:val="0"/>
          <w:bCs w:val="0"/>
          <w:kern w:val="2"/>
          <w:sz w:val="32"/>
          <w:szCs w:val="32"/>
          <w:lang w:val="en-US" w:eastAsia="zh-CN" w:bidi="ar-SA"/>
        </w:rPr>
        <w:t>”</w:t>
      </w:r>
      <w:r>
        <w:rPr>
          <w:rFonts w:hint="eastAsia" w:ascii="Times New Roman" w:hAnsi="Times New Roman" w:eastAsia="仿宋_GB2312" w:cs="Times New Roman"/>
          <w:b w:val="0"/>
          <w:bCs w:val="0"/>
          <w:kern w:val="2"/>
          <w:sz w:val="32"/>
          <w:szCs w:val="32"/>
          <w:lang w:val="en-US" w:eastAsia="zh-CN" w:bidi="ar-SA"/>
        </w:rPr>
        <w:t>宣传，</w:t>
      </w:r>
      <w:r>
        <w:rPr>
          <w:rFonts w:hint="eastAsia" w:ascii="Times New Roman" w:hAnsi="Times New Roman" w:eastAsia="仿宋_GB2312" w:cs="Times New Roman"/>
          <w:sz w:val="32"/>
          <w:szCs w:val="32"/>
          <w:lang w:val="en-US" w:eastAsia="zh-CN"/>
        </w:rPr>
        <w:t>针对性普及人防工程维护管理、应急避险、法律法规等知识，切实提升社会公众对人防工程的认知度和参与度，营造全民支持、全民参与人防工程维护管理的良好氛围。</w:t>
      </w:r>
    </w:p>
    <w:p w14:paraId="45C25CFD">
      <w:pPr>
        <w:keepNext w:val="0"/>
        <w:keepLines w:val="0"/>
        <w:pageBreakBefore w:val="0"/>
        <w:widowControl w:val="0"/>
        <w:kinsoku/>
        <w:wordWrap/>
        <w:overflowPunct/>
        <w:topLinePunct w:val="0"/>
        <w:autoSpaceDE/>
        <w:autoSpaceDN/>
        <w:bidi w:val="0"/>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五、关于</w:t>
      </w:r>
      <w:r>
        <w:rPr>
          <w:rFonts w:hint="eastAsia" w:ascii="黑体" w:hAnsi="黑体" w:eastAsia="黑体" w:cs="黑体"/>
          <w:sz w:val="32"/>
          <w:szCs w:val="32"/>
          <w:lang w:val="en-US" w:eastAsia="zh-CN"/>
        </w:rPr>
        <w:t>拓宽全民参与监督渠道的建议</w:t>
      </w:r>
    </w:p>
    <w:p w14:paraId="6E37530C">
      <w:pPr>
        <w:pStyle w:val="20"/>
        <w:numPr>
          <w:ilvl w:val="0"/>
          <w:numId w:val="0"/>
        </w:numPr>
        <w:spacing w:line="600" w:lineRule="exact"/>
        <w:ind w:firstLine="640" w:firstLineChars="200"/>
        <w:jc w:val="left"/>
        <w:rPr>
          <w:rFonts w:hint="eastAsia" w:ascii="Times New Roman" w:hAnsi="Times New Roman" w:eastAsia="仿宋_GB2312" w:cs="Times New Roman"/>
          <w:b w:val="0"/>
          <w:bCs w:val="0"/>
          <w:kern w:val="2"/>
          <w:sz w:val="32"/>
          <w:szCs w:val="32"/>
          <w:lang w:val="en-US" w:eastAsia="zh-CN" w:bidi="ar-SA"/>
        </w:rPr>
      </w:pPr>
      <w:r>
        <w:rPr>
          <w:rFonts w:hint="eastAsia" w:ascii="Times New Roman" w:hAnsi="Times New Roman" w:eastAsia="仿宋_GB2312" w:cs="Times New Roman"/>
          <w:b w:val="0"/>
          <w:bCs w:val="0"/>
          <w:kern w:val="2"/>
          <w:sz w:val="32"/>
          <w:szCs w:val="32"/>
          <w:lang w:val="en-US" w:eastAsia="zh-CN" w:bidi="ar-SA"/>
        </w:rPr>
        <w:t>我局</w:t>
      </w:r>
      <w:r>
        <w:rPr>
          <w:rFonts w:hint="eastAsia" w:ascii="Times New Roman" w:eastAsia="仿宋_GB2312" w:cs="Times New Roman"/>
          <w:b w:val="0"/>
          <w:bCs w:val="0"/>
          <w:kern w:val="2"/>
          <w:sz w:val="32"/>
          <w:szCs w:val="32"/>
          <w:lang w:val="en-US" w:eastAsia="zh-CN" w:bidi="ar-SA"/>
        </w:rPr>
        <w:t>印发《关于公布全市住建领域重大事故隐患和安全生产风险举报途径的通知》《关于公布全市自建房安全隐患投诉举报电话的通知》《东莞市既有建筑玻璃幕墙安全隐患排查整治工作投诉举报渠道清单》，公布房屋市政工程建筑施工、既有房屋和物业服务领域安全生产举报途径，鼓励项目参建人员、作业工人和广大人民群众提供住建领域重大事故隐患和安全风险情报线索，经查实后我局将做出相应处理。</w:t>
      </w:r>
      <w:r>
        <w:rPr>
          <w:rFonts w:hint="eastAsia" w:ascii="Times New Roman" w:hAnsi="Times New Roman" w:eastAsia="仿宋_GB2312" w:cs="Times New Roman"/>
          <w:b w:val="0"/>
          <w:bCs w:val="0"/>
          <w:kern w:val="2"/>
          <w:sz w:val="32"/>
          <w:szCs w:val="32"/>
          <w:lang w:val="en-US" w:eastAsia="zh-CN" w:bidi="ar-SA"/>
        </w:rPr>
        <w:t>开发</w:t>
      </w:r>
      <w:r>
        <w:rPr>
          <w:rFonts w:hint="eastAsia" w:ascii="Times New Roman" w:eastAsia="仿宋_GB2312" w:cs="Times New Roman"/>
          <w:b w:val="0"/>
          <w:bCs w:val="0"/>
          <w:kern w:val="2"/>
          <w:sz w:val="32"/>
          <w:szCs w:val="32"/>
          <w:lang w:val="en-US" w:eastAsia="zh-CN" w:bidi="ar-SA"/>
        </w:rPr>
        <w:t>“</w:t>
      </w:r>
      <w:r>
        <w:rPr>
          <w:rFonts w:hint="eastAsia" w:ascii="Times New Roman" w:hAnsi="Times New Roman" w:eastAsia="仿宋_GB2312" w:cs="Times New Roman"/>
          <w:b w:val="0"/>
          <w:bCs w:val="0"/>
          <w:kern w:val="2"/>
          <w:sz w:val="32"/>
          <w:szCs w:val="32"/>
          <w:lang w:val="en-US" w:eastAsia="zh-CN" w:bidi="ar-SA"/>
        </w:rPr>
        <w:t>莞e住建</w:t>
      </w:r>
      <w:r>
        <w:rPr>
          <w:rFonts w:hint="eastAsia" w:ascii="Times New Roman" w:eastAsia="仿宋_GB2312" w:cs="Times New Roman"/>
          <w:b w:val="0"/>
          <w:bCs w:val="0"/>
          <w:kern w:val="2"/>
          <w:sz w:val="32"/>
          <w:szCs w:val="32"/>
          <w:lang w:val="en-US" w:eastAsia="zh-CN" w:bidi="ar-SA"/>
        </w:rPr>
        <w:t>”微信</w:t>
      </w:r>
      <w:r>
        <w:rPr>
          <w:rFonts w:hint="eastAsia" w:ascii="Times New Roman" w:hAnsi="Times New Roman" w:eastAsia="仿宋_GB2312" w:cs="Times New Roman"/>
          <w:b w:val="0"/>
          <w:bCs w:val="0"/>
          <w:kern w:val="2"/>
          <w:sz w:val="32"/>
          <w:szCs w:val="32"/>
          <w:lang w:val="en-US" w:eastAsia="zh-CN" w:bidi="ar-SA"/>
        </w:rPr>
        <w:t>小程序“一码知”</w:t>
      </w:r>
      <w:r>
        <w:rPr>
          <w:rFonts w:hint="eastAsia" w:ascii="Times New Roman" w:eastAsia="仿宋_GB2312" w:cs="Times New Roman"/>
          <w:b w:val="0"/>
          <w:bCs w:val="0"/>
          <w:kern w:val="2"/>
          <w:sz w:val="32"/>
          <w:szCs w:val="32"/>
          <w:lang w:val="en-US" w:eastAsia="zh-CN" w:bidi="ar-SA"/>
        </w:rPr>
        <w:t>模块</w:t>
      </w:r>
      <w:r>
        <w:rPr>
          <w:rFonts w:hint="eastAsia" w:ascii="Times New Roman" w:hAnsi="Times New Roman" w:eastAsia="仿宋_GB2312" w:cs="Times New Roman"/>
          <w:b w:val="0"/>
          <w:bCs w:val="0"/>
          <w:kern w:val="2"/>
          <w:sz w:val="32"/>
          <w:szCs w:val="32"/>
          <w:lang w:val="en-US" w:eastAsia="zh-CN" w:bidi="ar-SA"/>
        </w:rPr>
        <w:t>，宣传既有房屋安全管理知识，为市民提供房屋安全相关资讯和服务</w:t>
      </w:r>
      <w:r>
        <w:rPr>
          <w:rFonts w:hint="eastAsia" w:ascii="Times New Roman" w:eastAsia="仿宋_GB2312" w:cs="Times New Roman"/>
          <w:b w:val="0"/>
          <w:bCs w:val="0"/>
          <w:kern w:val="2"/>
          <w:sz w:val="32"/>
          <w:szCs w:val="32"/>
          <w:lang w:val="en-US" w:eastAsia="zh-CN" w:bidi="ar-SA"/>
        </w:rPr>
        <w:t>，</w:t>
      </w:r>
      <w:r>
        <w:rPr>
          <w:rFonts w:hint="eastAsia" w:ascii="Times New Roman" w:hAnsi="Times New Roman" w:eastAsia="仿宋_GB2312" w:cs="Times New Roman"/>
          <w:b w:val="0"/>
          <w:bCs w:val="0"/>
          <w:kern w:val="2"/>
          <w:sz w:val="32"/>
          <w:szCs w:val="32"/>
          <w:lang w:val="en-US" w:eastAsia="zh-CN" w:bidi="ar-SA"/>
        </w:rPr>
        <w:t>为拓宽全民监督渠道奠定了基础。</w:t>
      </w:r>
    </w:p>
    <w:p w14:paraId="67AEC095">
      <w:pPr>
        <w:pStyle w:val="20"/>
        <w:numPr>
          <w:ilvl w:val="0"/>
          <w:numId w:val="0"/>
        </w:numPr>
        <w:spacing w:line="600" w:lineRule="exact"/>
        <w:ind w:firstLine="672"/>
        <w:jc w:val="left"/>
        <w:rPr>
          <w:rFonts w:hint="eastAsia" w:ascii="Times New Roman" w:hAnsi="Times New Roman" w:eastAsia="仿宋_GB2312" w:cs="Times New Roman"/>
          <w:b w:val="0"/>
          <w:bCs w:val="0"/>
          <w:kern w:val="2"/>
          <w:sz w:val="32"/>
          <w:szCs w:val="32"/>
          <w:lang w:val="en-US" w:eastAsia="zh-CN" w:bidi="ar-SA"/>
        </w:rPr>
      </w:pPr>
      <w:r>
        <w:rPr>
          <w:rFonts w:hint="eastAsia" w:ascii="Times New Roman" w:eastAsia="仿宋_GB2312" w:cs="Times New Roman"/>
          <w:b w:val="0"/>
          <w:bCs w:val="0"/>
          <w:kern w:val="2"/>
          <w:sz w:val="32"/>
          <w:szCs w:val="32"/>
          <w:lang w:val="en-US" w:eastAsia="zh-CN" w:bidi="ar-SA"/>
        </w:rPr>
        <w:t>下一步</w:t>
      </w:r>
      <w:r>
        <w:rPr>
          <w:rFonts w:hint="eastAsia" w:ascii="Times New Roman" w:hAnsi="Times New Roman" w:eastAsia="仿宋_GB2312" w:cs="Times New Roman"/>
          <w:b w:val="0"/>
          <w:bCs w:val="0"/>
          <w:kern w:val="2"/>
          <w:sz w:val="32"/>
          <w:szCs w:val="32"/>
          <w:lang w:val="en-US" w:eastAsia="zh-CN" w:bidi="ar-SA"/>
        </w:rPr>
        <w:t>，我局</w:t>
      </w:r>
      <w:r>
        <w:rPr>
          <w:rFonts w:hint="eastAsia" w:ascii="Times New Roman" w:eastAsia="仿宋_GB2312" w:cs="Times New Roman"/>
          <w:b w:val="0"/>
          <w:bCs w:val="0"/>
          <w:kern w:val="2"/>
          <w:sz w:val="32"/>
          <w:szCs w:val="32"/>
          <w:lang w:val="en-US" w:eastAsia="zh-CN" w:bidi="ar-SA"/>
        </w:rPr>
        <w:t>将结合省、市安全生产举报奖励机制修订情况，研究出台《东莞市房屋建筑及市政基础设施工程安全生产举报奖励实施办法》，完善城市建设领域隐患排查治理机制，用好社会力量及时发现并治理消除安全隐患。</w:t>
      </w:r>
      <w:r>
        <w:rPr>
          <w:rFonts w:hint="eastAsia" w:ascii="Times New Roman" w:hAnsi="Times New Roman" w:eastAsia="仿宋_GB2312" w:cs="Times New Roman"/>
          <w:b w:val="0"/>
          <w:bCs w:val="0"/>
          <w:kern w:val="2"/>
          <w:sz w:val="32"/>
          <w:szCs w:val="32"/>
          <w:lang w:val="en-US" w:eastAsia="zh-CN" w:bidi="ar-SA"/>
        </w:rPr>
        <w:t>结合现有</w:t>
      </w:r>
      <w:r>
        <w:rPr>
          <w:rFonts w:hint="eastAsia" w:ascii="Times New Roman" w:eastAsia="仿宋_GB2312" w:cs="Times New Roman"/>
          <w:b w:val="0"/>
          <w:bCs w:val="0"/>
          <w:kern w:val="2"/>
          <w:sz w:val="32"/>
          <w:szCs w:val="32"/>
          <w:lang w:val="en-US" w:eastAsia="zh-CN" w:bidi="ar-SA"/>
        </w:rPr>
        <w:t>信息平台及微信</w:t>
      </w:r>
      <w:r>
        <w:rPr>
          <w:rFonts w:hint="eastAsia" w:ascii="Times New Roman" w:hAnsi="Times New Roman" w:eastAsia="仿宋_GB2312" w:cs="Times New Roman"/>
          <w:b w:val="0"/>
          <w:bCs w:val="0"/>
          <w:kern w:val="2"/>
          <w:sz w:val="32"/>
          <w:szCs w:val="32"/>
          <w:lang w:val="en-US" w:eastAsia="zh-CN" w:bidi="ar-SA"/>
        </w:rPr>
        <w:t>小程序功能，</w:t>
      </w:r>
      <w:r>
        <w:rPr>
          <w:rFonts w:hint="eastAsia" w:ascii="Times New Roman" w:eastAsia="仿宋_GB2312" w:cs="Times New Roman"/>
          <w:b w:val="0"/>
          <w:bCs w:val="0"/>
          <w:kern w:val="2"/>
          <w:sz w:val="32"/>
          <w:szCs w:val="32"/>
          <w:lang w:val="en-US" w:eastAsia="zh-CN" w:bidi="ar-SA"/>
        </w:rPr>
        <w:t>探索研究线上举报途径。</w:t>
      </w:r>
      <w:r>
        <w:rPr>
          <w:rFonts w:hint="eastAsia" w:ascii="Times New Roman" w:hAnsi="Times New Roman" w:eastAsia="仿宋_GB2312" w:cs="Times New Roman"/>
          <w:b w:val="0"/>
          <w:bCs w:val="0"/>
          <w:kern w:val="2"/>
          <w:sz w:val="32"/>
          <w:szCs w:val="32"/>
          <w:lang w:val="en-US" w:eastAsia="zh-CN" w:bidi="ar-SA"/>
        </w:rPr>
        <w:t>镇街人防管理部门对举报线索及时核查，核查属实的，依法处罚相关责任单位，</w:t>
      </w:r>
      <w:r>
        <w:rPr>
          <w:rFonts w:hint="eastAsia" w:ascii="Times New Roman" w:eastAsia="仿宋_GB2312" w:cs="Times New Roman"/>
          <w:b w:val="0"/>
          <w:bCs w:val="0"/>
          <w:kern w:val="2"/>
          <w:sz w:val="32"/>
          <w:szCs w:val="32"/>
          <w:lang w:val="en-US" w:eastAsia="zh-CN" w:bidi="ar-SA"/>
        </w:rPr>
        <w:t>鼓励</w:t>
      </w:r>
      <w:r>
        <w:rPr>
          <w:rFonts w:hint="eastAsia" w:ascii="Times New Roman" w:hAnsi="Times New Roman" w:eastAsia="仿宋_GB2312" w:cs="Times New Roman"/>
          <w:b w:val="0"/>
          <w:bCs w:val="0"/>
          <w:kern w:val="2"/>
          <w:sz w:val="32"/>
          <w:szCs w:val="32"/>
          <w:lang w:val="en-US" w:eastAsia="zh-CN" w:bidi="ar-SA"/>
        </w:rPr>
        <w:t>对举报人给予适当奖励，形成“全民监督、快速响应、闭环处置、有奖举报”的共治格局</w:t>
      </w:r>
      <w:r>
        <w:rPr>
          <w:rFonts w:hint="eastAsia" w:ascii="Times New Roman" w:hAnsi="Times New Roman" w:eastAsia="仿宋_GB2312" w:cs="Times New Roman"/>
          <w:kern w:val="2"/>
          <w:sz w:val="32"/>
          <w:szCs w:val="32"/>
          <w:highlight w:val="none"/>
          <w:lang w:val="en-US" w:eastAsia="zh-CN" w:bidi="ar-SA"/>
        </w:rPr>
        <w:t>。</w:t>
      </w:r>
    </w:p>
    <w:p w14:paraId="75EDF9DB">
      <w:pPr>
        <w:keepNext w:val="0"/>
        <w:keepLines w:val="0"/>
        <w:pageBreakBefore w:val="0"/>
        <w:widowControl w:val="0"/>
        <w:numPr>
          <w:ilvl w:val="0"/>
          <w:numId w:val="0"/>
        </w:numPr>
        <w:kinsoku/>
        <w:wordWrap/>
        <w:overflowPunct/>
        <w:topLinePunct w:val="0"/>
        <w:autoSpaceDE/>
        <w:autoSpaceDN/>
        <w:bidi w:val="0"/>
        <w:spacing w:line="560" w:lineRule="exact"/>
        <w:ind w:firstLine="640" w:firstLineChars="200"/>
        <w:textAlignment w:val="auto"/>
        <w:rPr>
          <w:rFonts w:hint="default" w:ascii="Times New Roman" w:hAnsi="Times New Roman" w:cs="Times New Roman"/>
          <w:szCs w:val="32"/>
          <w:lang w:eastAsia="zh-CN"/>
        </w:rPr>
      </w:pPr>
      <w:r>
        <w:rPr>
          <w:rFonts w:hint="eastAsia" w:ascii="Times New Roman" w:hAnsi="Times New Roman" w:eastAsia="仿宋_GB2312"/>
          <w:sz w:val="32"/>
          <w:szCs w:val="32"/>
        </w:rPr>
        <w:t>专此答复，诚挚感谢</w:t>
      </w:r>
      <w:r>
        <w:rPr>
          <w:rFonts w:hint="eastAsia" w:ascii="Times New Roman" w:hAnsi="Times New Roman"/>
          <w:sz w:val="32"/>
          <w:szCs w:val="32"/>
          <w:lang w:eastAsia="zh-CN"/>
        </w:rPr>
        <w:t>贵委</w:t>
      </w:r>
      <w:r>
        <w:rPr>
          <w:rFonts w:hint="eastAsia" w:ascii="Times New Roman" w:hAnsi="Times New Roman" w:eastAsia="仿宋_GB2312"/>
          <w:sz w:val="32"/>
          <w:szCs w:val="32"/>
        </w:rPr>
        <w:t>对</w:t>
      </w:r>
      <w:r>
        <w:rPr>
          <w:rFonts w:hint="eastAsia" w:ascii="Times New Roman" w:hAnsi="Times New Roman" w:cs="Times New Roman"/>
          <w:szCs w:val="32"/>
          <w:lang w:eastAsia="zh-CN"/>
        </w:rPr>
        <w:t>我</w:t>
      </w:r>
      <w:r>
        <w:rPr>
          <w:rFonts w:hint="eastAsia" w:ascii="Times New Roman" w:hAnsi="Times New Roman" w:eastAsia="仿宋_GB2312"/>
          <w:sz w:val="32"/>
          <w:szCs w:val="32"/>
        </w:rPr>
        <w:t>市结建式人防工程维护管理工作的关心和支持。</w:t>
      </w:r>
    </w:p>
    <w:p w14:paraId="39A921B8">
      <w:pPr>
        <w:keepNext w:val="0"/>
        <w:keepLines w:val="0"/>
        <w:pageBreakBefore w:val="0"/>
        <w:widowControl w:val="0"/>
        <w:tabs>
          <w:tab w:val="left" w:pos="2227"/>
        </w:tabs>
        <w:kinsoku/>
        <w:wordWrap/>
        <w:overflowPunct/>
        <w:topLinePunct w:val="0"/>
        <w:autoSpaceDE/>
        <w:autoSpaceDN/>
        <w:bidi w:val="0"/>
        <w:adjustRightInd/>
        <w:snapToGrid/>
        <w:spacing w:line="560" w:lineRule="exact"/>
        <w:ind w:firstLine="645"/>
        <w:textAlignment w:val="auto"/>
        <w:rPr>
          <w:rFonts w:hint="default" w:ascii="Times New Roman" w:hAnsi="Times New Roman" w:cs="Times New Roman"/>
          <w:szCs w:val="32"/>
          <w:lang w:eastAsia="zh-CN"/>
        </w:rPr>
      </w:pPr>
    </w:p>
    <w:p w14:paraId="6DA25681">
      <w:pPr>
        <w:keepNext w:val="0"/>
        <w:keepLines w:val="0"/>
        <w:pageBreakBefore w:val="0"/>
        <w:widowControl w:val="0"/>
        <w:tabs>
          <w:tab w:val="left" w:pos="2227"/>
        </w:tabs>
        <w:kinsoku/>
        <w:wordWrap/>
        <w:overflowPunct/>
        <w:topLinePunct w:val="0"/>
        <w:autoSpaceDE/>
        <w:autoSpaceDN/>
        <w:bidi w:val="0"/>
        <w:adjustRightInd/>
        <w:snapToGrid/>
        <w:spacing w:line="560" w:lineRule="exact"/>
        <w:ind w:firstLine="645"/>
        <w:textAlignment w:val="auto"/>
        <w:rPr>
          <w:rFonts w:hint="default" w:ascii="Times New Roman" w:hAnsi="Times New Roman" w:cs="Times New Roman"/>
          <w:szCs w:val="32"/>
          <w:lang w:eastAsia="zh-CN"/>
        </w:rPr>
      </w:pPr>
    </w:p>
    <w:p w14:paraId="3ED819C3">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default" w:ascii="Times New Roman" w:hAnsi="Times New Roman" w:cs="Times New Roman"/>
        </w:rPr>
      </w:pPr>
      <w:r>
        <w:rPr>
          <w:rFonts w:hint="default" w:ascii="Times New Roman" w:hAnsi="Times New Roman" w:cs="Times New Roman"/>
        </w:rPr>
        <w:t xml:space="preserve"> </w:t>
      </w:r>
      <w:r>
        <w:rPr>
          <w:rFonts w:hint="default" w:ascii="Times New Roman" w:hAnsi="Times New Roman" w:cs="Times New Roman"/>
          <w:lang w:val="en-US" w:eastAsia="zh-CN"/>
        </w:rPr>
        <w:t xml:space="preserve">                           </w:t>
      </w:r>
      <w:r>
        <w:rPr>
          <w:rFonts w:hint="default" w:ascii="Times New Roman" w:hAnsi="Times New Roman" w:cs="Times New Roman"/>
        </w:rPr>
        <w:t>东莞市住房和城乡建设局</w:t>
      </w:r>
    </w:p>
    <w:p w14:paraId="7B5D2CE1">
      <w:pPr>
        <w:keepNext w:val="0"/>
        <w:keepLines w:val="0"/>
        <w:pageBreakBefore w:val="0"/>
        <w:widowControl w:val="0"/>
        <w:kinsoku/>
        <w:wordWrap/>
        <w:overflowPunct/>
        <w:topLinePunct w:val="0"/>
        <w:autoSpaceDE/>
        <w:autoSpaceDN/>
        <w:bidi w:val="0"/>
        <w:adjustRightInd w:val="0"/>
        <w:snapToGrid w:val="0"/>
        <w:spacing w:line="560" w:lineRule="exact"/>
        <w:ind w:firstLine="5120" w:firstLineChars="1600"/>
        <w:textAlignment w:val="auto"/>
        <w:rPr>
          <w:rFonts w:hint="default" w:ascii="Times New Roman" w:hAnsi="Times New Roman" w:cs="Times New Roman"/>
        </w:rPr>
      </w:pPr>
      <w:r>
        <w:rPr>
          <w:rFonts w:hint="default" w:ascii="Times New Roman" w:hAnsi="Times New Roman" w:cs="Times New Roman"/>
        </w:rPr>
        <w:t>202</w:t>
      </w:r>
      <w:r>
        <w:rPr>
          <w:rFonts w:hint="eastAsia" w:ascii="Times New Roman" w:hAnsi="Times New Roman" w:cs="Times New Roman"/>
          <w:lang w:val="en-US" w:eastAsia="zh-CN"/>
        </w:rPr>
        <w:t>6</w:t>
      </w:r>
      <w:r>
        <w:rPr>
          <w:rFonts w:hint="default" w:ascii="Times New Roman" w:hAnsi="Times New Roman" w:cs="Times New Roman"/>
        </w:rPr>
        <w:t>年</w:t>
      </w:r>
      <w:r>
        <w:rPr>
          <w:rFonts w:hint="eastAsia" w:cs="Times New Roman"/>
          <w:lang w:val="en-US" w:eastAsia="zh-CN"/>
        </w:rPr>
        <w:t>7</w:t>
      </w:r>
      <w:r>
        <w:rPr>
          <w:rFonts w:hint="default" w:ascii="Times New Roman" w:hAnsi="Times New Roman" w:cs="Times New Roman"/>
        </w:rPr>
        <w:t>月</w:t>
      </w:r>
      <w:r>
        <w:rPr>
          <w:rFonts w:hint="eastAsia" w:ascii="Times New Roman" w:hAnsi="Times New Roman" w:cs="Times New Roman"/>
          <w:lang w:val="en-US" w:eastAsia="zh-CN"/>
        </w:rPr>
        <w:t>2</w:t>
      </w:r>
      <w:r>
        <w:rPr>
          <w:rFonts w:hint="eastAsia" w:cs="Times New Roman"/>
          <w:lang w:val="en-US" w:eastAsia="zh-CN"/>
        </w:rPr>
        <w:t>1</w:t>
      </w:r>
      <w:r>
        <w:rPr>
          <w:rFonts w:hint="default" w:ascii="Times New Roman" w:hAnsi="Times New Roman" w:cs="Times New Roman"/>
        </w:rPr>
        <w:t>日</w:t>
      </w:r>
    </w:p>
    <w:p w14:paraId="5FEC6918">
      <w:pPr>
        <w:keepNext w:val="0"/>
        <w:keepLines w:val="0"/>
        <w:pageBreakBefore w:val="0"/>
        <w:widowControl w:val="0"/>
        <w:kinsoku/>
        <w:wordWrap/>
        <w:overflowPunct/>
        <w:topLinePunct w:val="0"/>
        <w:autoSpaceDE/>
        <w:autoSpaceDN/>
        <w:bidi w:val="0"/>
        <w:adjustRightInd w:val="0"/>
        <w:snapToGrid w:val="0"/>
        <w:spacing w:line="560" w:lineRule="exact"/>
        <w:ind w:firstLine="5120" w:firstLineChars="1600"/>
        <w:textAlignment w:val="auto"/>
        <w:rPr>
          <w:rFonts w:hint="default" w:ascii="Times New Roman" w:hAnsi="Times New Roman" w:cs="Times New Roman"/>
        </w:rPr>
      </w:pPr>
    </w:p>
    <w:p w14:paraId="6ABCD5F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Times New Roman" w:hAnsi="黑体" w:eastAsia="黑体" w:cs="Times New Roman"/>
          <w:sz w:val="32"/>
          <w:szCs w:val="32"/>
        </w:rPr>
      </w:pPr>
      <w:r>
        <w:rPr>
          <w:rFonts w:hint="default" w:ascii="Times New Roman" w:hAnsi="Times New Roman" w:cs="Times New Roman"/>
        </w:rPr>
        <w:t>（联系人：</w:t>
      </w:r>
      <w:r>
        <w:rPr>
          <w:rFonts w:hint="eastAsia" w:ascii="Times New Roman" w:hAnsi="Times New Roman" w:cs="Times New Roman"/>
          <w:lang w:eastAsia="zh-CN"/>
        </w:rPr>
        <w:t>房安科</w:t>
      </w:r>
      <w:r>
        <w:rPr>
          <w:rFonts w:hint="default" w:ascii="Times New Roman" w:hAnsi="Times New Roman" w:cs="Times New Roman"/>
          <w:sz w:val="32"/>
          <w:szCs w:val="32"/>
          <w:lang w:val="en-US" w:eastAsia="zh-CN"/>
        </w:rPr>
        <w:t xml:space="preserve"> </w:t>
      </w:r>
      <w:r>
        <w:rPr>
          <w:rFonts w:hint="eastAsia" w:ascii="Times New Roman" w:hAnsi="Times New Roman" w:cs="Times New Roman"/>
          <w:sz w:val="32"/>
          <w:szCs w:val="32"/>
          <w:lang w:val="en-US" w:eastAsia="zh-CN"/>
        </w:rPr>
        <w:t>曾展鹏</w:t>
      </w:r>
      <w:r>
        <w:rPr>
          <w:rFonts w:hint="default" w:ascii="Times New Roman" w:hAnsi="Times New Roman" w:cs="Times New Roman"/>
          <w:sz w:val="32"/>
          <w:szCs w:val="32"/>
          <w:lang w:val="en-US" w:eastAsia="zh-CN"/>
        </w:rPr>
        <w:t>，联系电话：</w:t>
      </w:r>
      <w:r>
        <w:rPr>
          <w:rFonts w:hint="eastAsia" w:ascii="Times New Roman" w:hAnsi="Times New Roman" w:cs="Times New Roman"/>
          <w:sz w:val="32"/>
          <w:szCs w:val="32"/>
          <w:lang w:val="en-US" w:eastAsia="zh-CN"/>
        </w:rPr>
        <w:t>22671711</w:t>
      </w:r>
      <w:r>
        <w:rPr>
          <w:rFonts w:hint="default" w:ascii="Times New Roman" w:hAnsi="Times New Roman" w:cs="Times New Roman"/>
          <w:lang w:val="en-US" w:eastAsia="zh-CN"/>
        </w:rPr>
        <w:t>。）</w:t>
      </w:r>
    </w:p>
    <w:p w14:paraId="2E7E5429">
      <w:pPr>
        <w:pStyle w:val="18"/>
        <w:jc w:val="both"/>
        <w:rPr>
          <w:rFonts w:ascii="Times New Roman" w:hAnsi="黑体" w:eastAsia="黑体" w:cs="Times New Roman"/>
          <w:sz w:val="32"/>
          <w:szCs w:val="32"/>
        </w:rPr>
      </w:pPr>
    </w:p>
    <w:p w14:paraId="2B9F1A03">
      <w:pPr>
        <w:pStyle w:val="18"/>
        <w:jc w:val="both"/>
        <w:rPr>
          <w:rFonts w:ascii="Times New Roman" w:hAnsi="黑体" w:eastAsia="黑体" w:cs="Times New Roman"/>
          <w:sz w:val="32"/>
          <w:szCs w:val="32"/>
        </w:rPr>
      </w:pPr>
    </w:p>
    <w:p w14:paraId="06723283">
      <w:pPr>
        <w:pStyle w:val="18"/>
        <w:jc w:val="both"/>
        <w:rPr>
          <w:rFonts w:ascii="Times New Roman" w:hAnsi="黑体" w:eastAsia="黑体" w:cs="Times New Roman"/>
          <w:sz w:val="32"/>
          <w:szCs w:val="32"/>
        </w:rPr>
      </w:pPr>
    </w:p>
    <w:p w14:paraId="195D3E34">
      <w:pPr>
        <w:pStyle w:val="18"/>
        <w:jc w:val="both"/>
        <w:rPr>
          <w:rFonts w:ascii="Times New Roman" w:hAnsi="黑体" w:eastAsia="黑体" w:cs="Times New Roman"/>
          <w:sz w:val="32"/>
          <w:szCs w:val="32"/>
        </w:rPr>
      </w:pPr>
    </w:p>
    <w:p w14:paraId="429B3265">
      <w:pPr>
        <w:pStyle w:val="18"/>
        <w:jc w:val="both"/>
        <w:rPr>
          <w:rFonts w:ascii="Times New Roman" w:hAnsi="黑体" w:eastAsia="黑体" w:cs="Times New Roman"/>
          <w:sz w:val="32"/>
          <w:szCs w:val="32"/>
        </w:rPr>
      </w:pPr>
    </w:p>
    <w:p w14:paraId="0A7730BF">
      <w:pPr>
        <w:pStyle w:val="18"/>
        <w:jc w:val="both"/>
        <w:rPr>
          <w:rFonts w:ascii="Times New Roman" w:hAnsi="黑体" w:eastAsia="黑体" w:cs="Times New Roman"/>
          <w:sz w:val="32"/>
          <w:szCs w:val="32"/>
        </w:rPr>
      </w:pPr>
    </w:p>
    <w:p w14:paraId="3F84494C">
      <w:pPr>
        <w:pStyle w:val="18"/>
        <w:jc w:val="both"/>
        <w:rPr>
          <w:rFonts w:ascii="Times New Roman" w:hAnsi="黑体" w:eastAsia="黑体" w:cs="Times New Roman"/>
          <w:sz w:val="32"/>
          <w:szCs w:val="32"/>
        </w:rPr>
      </w:pPr>
    </w:p>
    <w:p w14:paraId="624A108F">
      <w:pPr>
        <w:pStyle w:val="18"/>
        <w:jc w:val="both"/>
        <w:rPr>
          <w:rFonts w:ascii="Times New Roman" w:hAnsi="黑体" w:eastAsia="黑体" w:cs="Times New Roman"/>
          <w:sz w:val="32"/>
          <w:szCs w:val="32"/>
        </w:rPr>
      </w:pPr>
    </w:p>
    <w:p w14:paraId="2DDFE5BB">
      <w:pPr>
        <w:pStyle w:val="18"/>
        <w:jc w:val="both"/>
        <w:rPr>
          <w:rFonts w:ascii="Times New Roman" w:hAnsi="黑体" w:eastAsia="黑体" w:cs="Times New Roman"/>
          <w:sz w:val="32"/>
          <w:szCs w:val="32"/>
        </w:rPr>
      </w:pPr>
    </w:p>
    <w:p w14:paraId="4491691A">
      <w:pPr>
        <w:pStyle w:val="18"/>
        <w:jc w:val="both"/>
        <w:rPr>
          <w:rFonts w:ascii="Times New Roman" w:hAnsi="黑体" w:eastAsia="黑体" w:cs="Times New Roman"/>
          <w:sz w:val="32"/>
          <w:szCs w:val="32"/>
        </w:rPr>
      </w:pPr>
    </w:p>
    <w:p w14:paraId="757D188F">
      <w:pPr>
        <w:pStyle w:val="18"/>
        <w:jc w:val="both"/>
        <w:rPr>
          <w:rFonts w:ascii="Times New Roman" w:hAnsi="黑体" w:eastAsia="黑体" w:cs="Times New Roman"/>
          <w:sz w:val="32"/>
          <w:szCs w:val="32"/>
        </w:rPr>
      </w:pPr>
    </w:p>
    <w:p w14:paraId="626B2806">
      <w:pPr>
        <w:keepNext w:val="0"/>
        <w:keepLines w:val="0"/>
        <w:pageBreakBefore w:val="0"/>
        <w:widowControl w:val="0"/>
        <w:kinsoku/>
        <w:wordWrap/>
        <w:overflowPunct/>
        <w:topLinePunct w:val="0"/>
        <w:autoSpaceDE/>
        <w:autoSpaceDN/>
        <w:bidi w:val="0"/>
        <w:spacing w:line="560" w:lineRule="exact"/>
        <w:textAlignment w:val="auto"/>
        <w:rPr>
          <w:rFonts w:hint="eastAsia"/>
          <w:lang w:eastAsia="zh-CN"/>
        </w:rPr>
      </w:pPr>
      <w:r>
        <w:rPr>
          <w:rFonts w:ascii="Times New Roman" w:hAnsi="黑体" w:eastAsia="黑体" w:cs="Times New Roman"/>
          <w:sz w:val="32"/>
          <w:szCs w:val="32"/>
        </w:rPr>
        <w:t>公开方式：</w:t>
      </w:r>
      <w:r>
        <w:rPr>
          <w:rFonts w:hint="eastAsia" w:ascii="Times New Roman" w:hAnsi="黑体" w:eastAsia="黑体" w:cs="Times New Roman"/>
          <w:sz w:val="32"/>
          <w:szCs w:val="32"/>
          <w:lang w:val="en-US" w:eastAsia="zh-CN"/>
        </w:rPr>
        <w:t>不公开</w:t>
      </w:r>
    </w:p>
    <w:p w14:paraId="6E0461B2">
      <w:pPr>
        <w:keepNext w:val="0"/>
        <w:keepLines w:val="0"/>
        <w:pageBreakBefore w:val="0"/>
        <w:widowControl w:val="0"/>
        <w:kinsoku/>
        <w:wordWrap/>
        <w:overflowPunct/>
        <w:topLinePunct w:val="0"/>
        <w:autoSpaceDE/>
        <w:autoSpaceDN/>
        <w:bidi w:val="0"/>
        <w:adjustRightInd/>
        <w:snapToGrid/>
        <w:spacing w:line="560" w:lineRule="exact"/>
        <w:ind w:left="1280" w:leftChars="100" w:hanging="960" w:hangingChars="300"/>
        <w:textAlignment w:val="auto"/>
      </w:pPr>
      <w:r>
        <w:rPr>
          <w:rFonts w:ascii="Times New Roman" w:hAnsi="Times New Roman" w:eastAsia="仿宋_GB2312" w:cs="Times New Roman"/>
          <w:sz w:val="32"/>
          <w:szCs w:val="32"/>
        </w:rPr>
        <w:t>抄送：</w:t>
      </w:r>
      <w:r>
        <w:rPr>
          <w:rFonts w:hint="eastAsia" w:ascii="Times New Roman" w:hAnsi="Times New Roman" w:eastAsia="仿宋_GB2312" w:cs="Times New Roman"/>
          <w:sz w:val="32"/>
          <w:szCs w:val="32"/>
          <w:lang w:eastAsia="zh-CN"/>
        </w:rPr>
        <w:t>市政府办公室、</w:t>
      </w:r>
      <w:r>
        <w:rPr>
          <w:rFonts w:ascii="Times New Roman" w:hAnsi="Times New Roman" w:eastAsia="仿宋_GB2312" w:cs="Times New Roman"/>
          <w:sz w:val="32"/>
          <w:szCs w:val="32"/>
        </w:rPr>
        <w:t>市</w:t>
      </w:r>
      <w:r>
        <w:rPr>
          <w:rFonts w:hint="eastAsia" w:ascii="Times New Roman" w:hAnsi="Times New Roman" w:eastAsia="仿宋_GB2312" w:cs="Times New Roman"/>
          <w:sz w:val="32"/>
          <w:szCs w:val="32"/>
        </w:rPr>
        <w:t>政协提案委</w:t>
      </w:r>
      <w:r>
        <w:rPr>
          <w:rFonts w:hint="eastAsia" w:ascii="Times New Roman" w:hAnsi="Times New Roman" w:cs="Times New Roman"/>
          <w:sz w:val="32"/>
          <w:szCs w:val="32"/>
          <w:lang w:eastAsia="zh-CN"/>
        </w:rPr>
        <w:t>、市委军民融合办</w:t>
      </w:r>
      <w:r>
        <w:rPr>
          <w:rFonts w:hint="eastAsia" w:ascii="仿宋_GB2312" w:hAnsi="Calibri" w:eastAsia="仿宋_GB2312" w:cs="Times New Roman"/>
          <w:sz w:val="32"/>
          <w:szCs w:val="32"/>
        </w:rPr>
        <w:t>。</w:t>
      </w:r>
    </w:p>
    <w:sectPr>
      <w:footerReference r:id="rId3" w:type="default"/>
      <w:footerReference r:id="rId4" w:type="even"/>
      <w:pgSz w:w="11906" w:h="16838"/>
      <w:pgMar w:top="2098" w:right="1474" w:bottom="1984" w:left="1587" w:header="851" w:footer="1304" w:gutter="0"/>
      <w:pgBorders w:display="firstPage">
        <w:bottom w:val="thickThinSmallGap" w:color="FF0000" w:sz="24" w:space="2"/>
      </w:pgBorders>
      <w:cols w:space="720" w:num="1"/>
      <w:titlePg/>
      <w:docGrid w:type="linesAndChars" w:linePitch="5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decorative"/>
    <w:pitch w:val="default"/>
    <w:sig w:usb0="00000001" w:usb1="080E0000" w:usb2="00000000" w:usb3="00000000" w:csb0="00040000" w:csb1="00000000"/>
  </w:font>
  <w:font w:name="华康简标题宋">
    <w:panose1 w:val="02010609000101010101"/>
    <w:charset w:val="00"/>
    <w:family w:val="decorative"/>
    <w:pitch w:val="default"/>
    <w:sig w:usb0="00000000" w:usb1="00000000" w:usb2="00000000" w:usb3="00000000" w:csb0="00000000" w:csb1="00000000"/>
  </w:font>
  <w:font w:name="方正小标宋简体">
    <w:panose1 w:val="03000509000000000000"/>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08DBC">
    <w:pPr>
      <w:pStyle w:val="24"/>
      <w:framePr w:w="1067" w:h="562" w:hRule="exact" w:wrap="around" w:vAnchor="text" w:hAnchor="page" w:x="9404" w:y="-256"/>
      <w:jc w:val="center"/>
      <w:rPr>
        <w:rStyle w:val="28"/>
        <w:rFonts w:hint="eastAsia"/>
      </w:rPr>
    </w:pPr>
    <w:r>
      <w:rPr>
        <w:rStyle w:val="28"/>
        <w:rFonts w:hint="eastAsia"/>
      </w:rPr>
      <w:t>—</w:t>
    </w:r>
    <w:r>
      <w:rPr>
        <w:rStyle w:val="28"/>
      </w:rPr>
      <w:fldChar w:fldCharType="begin"/>
    </w:r>
    <w:r>
      <w:rPr>
        <w:rStyle w:val="28"/>
      </w:rPr>
      <w:instrText xml:space="preserve">PAGE  </w:instrText>
    </w:r>
    <w:r>
      <w:rPr>
        <w:rStyle w:val="28"/>
      </w:rPr>
      <w:fldChar w:fldCharType="separate"/>
    </w:r>
    <w:r>
      <w:rPr>
        <w:rStyle w:val="28"/>
      </w:rPr>
      <w:t>3</w:t>
    </w:r>
    <w:r>
      <w:rPr>
        <w:rStyle w:val="28"/>
      </w:rPr>
      <w:fldChar w:fldCharType="end"/>
    </w:r>
    <w:r>
      <w:rPr>
        <w:rStyle w:val="28"/>
        <w:rFonts w:hint="eastAsia"/>
      </w:rPr>
      <w:t>—</w:t>
    </w:r>
  </w:p>
  <w:p w14:paraId="32FB47B5">
    <w:pPr>
      <w:pStyle w:val="2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73DA0">
    <w:pPr>
      <w:pStyle w:val="24"/>
      <w:framePr w:wrap="notBeside" w:vAnchor="page" w:hAnchor="page" w:x="1669" w:y="14942"/>
      <w:rPr>
        <w:rStyle w:val="28"/>
      </w:rPr>
    </w:pPr>
    <w:r>
      <w:rPr>
        <w:rStyle w:val="28"/>
        <w:rFonts w:hint="eastAsia"/>
      </w:rPr>
      <w:t>—</w:t>
    </w:r>
    <w:r>
      <w:rPr>
        <w:rStyle w:val="28"/>
      </w:rPr>
      <w:fldChar w:fldCharType="begin"/>
    </w:r>
    <w:r>
      <w:rPr>
        <w:rStyle w:val="28"/>
      </w:rPr>
      <w:instrText xml:space="preserve">PAGE  </w:instrText>
    </w:r>
    <w:r>
      <w:rPr>
        <w:rStyle w:val="28"/>
      </w:rPr>
      <w:fldChar w:fldCharType="separate"/>
    </w:r>
    <w:r>
      <w:rPr>
        <w:rStyle w:val="28"/>
      </w:rPr>
      <w:t>2</w:t>
    </w:r>
    <w:r>
      <w:rPr>
        <w:rStyle w:val="28"/>
      </w:rPr>
      <w:fldChar w:fldCharType="end"/>
    </w:r>
    <w:r>
      <w:rPr>
        <w:rStyle w:val="28"/>
        <w:rFonts w:hint="eastAsia"/>
      </w:rPr>
      <w:t>—</w:t>
    </w:r>
  </w:p>
  <w:p w14:paraId="475671EC">
    <w:pPr>
      <w:pStyle w:val="24"/>
      <w:ind w:right="360"/>
      <w:jc w:val="both"/>
      <w:rPr>
        <w:sz w:val="18"/>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chineseCounting"/>
      <w:suff w:val="nothing"/>
      <w:lvlText w:val="%1、"/>
      <w:lvlJc w:val="left"/>
      <w:rPr>
        <w:rFonts w:hint="eastAsia"/>
      </w:rPr>
    </w:lvl>
  </w:abstractNum>
  <w:abstractNum w:abstractNumId="1">
    <w:nsid w:val="0053208E"/>
    <w:multiLevelType w:val="multilevel"/>
    <w:tmpl w:val="0053208E"/>
    <w:lvl w:ilvl="0" w:tentative="0">
      <w:start w:val="1"/>
      <w:numFmt w:val="none"/>
      <w:pStyle w:val="5"/>
      <w:suff w:val="nothing"/>
      <w:lvlText w:val=""/>
      <w:lvlJc w:val="left"/>
    </w:lvl>
    <w:lvl w:ilvl="1" w:tentative="0">
      <w:start w:val="0"/>
      <w:numFmt w:val="decimal"/>
      <w:pStyle w:val="6"/>
      <w:lvlText w:val="%2"/>
      <w:lvlJc w:val="left"/>
      <w:rPr>
        <w:rFonts w:hint="eastAsia" w:ascii="宋体" w:eastAsia="宋体"/>
      </w:rPr>
    </w:lvl>
    <w:lvl w:ilvl="2" w:tentative="0">
      <w:start w:val="0"/>
      <w:numFmt w:val="decimal"/>
      <w:pStyle w:val="7"/>
      <w:lvlText w:val="%3"/>
      <w:lvlJc w:val="left"/>
      <w:rPr>
        <w:rFonts w:hint="eastAsia" w:ascii="宋体" w:eastAsia="宋体"/>
      </w:rPr>
    </w:lvl>
    <w:lvl w:ilvl="3" w:tentative="0">
      <w:start w:val="0"/>
      <w:numFmt w:val="decimal"/>
      <w:pStyle w:val="8"/>
      <w:lvlText w:val="%4"/>
      <w:lvlJc w:val="left"/>
      <w:rPr>
        <w:rFonts w:hint="eastAsia" w:ascii="宋体" w:eastAsia="宋体"/>
      </w:rPr>
    </w:lvl>
    <w:lvl w:ilvl="4" w:tentative="0">
      <w:start w:val="0"/>
      <w:numFmt w:val="decimal"/>
      <w:pStyle w:val="9"/>
      <w:lvlText w:val="%5"/>
      <w:lvlJc w:val="left"/>
      <w:rPr>
        <w:rFonts w:hint="eastAsia" w:ascii="宋体" w:eastAsia="宋体"/>
      </w:rPr>
    </w:lvl>
    <w:lvl w:ilvl="5" w:tentative="0">
      <w:start w:val="0"/>
      <w:numFmt w:val="decimal"/>
      <w:pStyle w:val="10"/>
      <w:lvlText w:val="%6"/>
      <w:lvlJc w:val="left"/>
      <w:rPr>
        <w:rFonts w:hint="eastAsia" w:ascii="宋体" w:eastAsia="宋体"/>
      </w:rPr>
    </w:lvl>
    <w:lvl w:ilvl="6" w:tentative="0">
      <w:start w:val="0"/>
      <w:numFmt w:val="decimal"/>
      <w:pStyle w:val="11"/>
      <w:lvlText w:val="%7"/>
      <w:lvlJc w:val="left"/>
      <w:rPr>
        <w:rFonts w:hint="eastAsia" w:ascii="宋体" w:eastAsia="宋体"/>
      </w:rPr>
    </w:lvl>
    <w:lvl w:ilvl="7" w:tentative="0">
      <w:start w:val="0"/>
      <w:numFmt w:val="decimal"/>
      <w:pStyle w:val="12"/>
      <w:lvlText w:val="%8"/>
      <w:lvlJc w:val="left"/>
      <w:rPr>
        <w:rFonts w:hint="eastAsia" w:ascii="宋体" w:eastAsia="宋体"/>
      </w:rPr>
    </w:lvl>
    <w:lvl w:ilvl="8" w:tentative="0">
      <w:start w:val="0"/>
      <w:numFmt w:val="decimal"/>
      <w:pStyle w:val="13"/>
      <w:lvlText w:val="%9"/>
      <w:lvlJc w:val="left"/>
      <w:rPr>
        <w:rFonts w:hint="eastAsia" w:ascii="宋体" w:eastAsia="宋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lignBordersAndEdg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attachedTemplate r:id="rId1"/>
  <w:revisionView w:markup="0"/>
  <w:trackRevisions w:val="1"/>
  <w:documentProtection w:enforcement="0"/>
  <w:defaultTabStop w:val="420"/>
  <w:evenAndOddHeaders w:val="1"/>
  <w:drawingGridHorizontalSpacing w:val="160"/>
  <w:drawingGridVerticalSpacing w:val="280"/>
  <w:doNotShadeFormData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5"/>
    <w:compatSetting w:name="enableOpenTypeFeatures" w:uri="http://schemas.microsoft.com/office/word" w:val="1"/>
    <w:compatSetting w:name="doNotFlipMirrorIndents" w:uri="http://schemas.microsoft.com/office/word" w:val="1"/>
  </w:compat>
  <w:rsids>
    <w:rsidRoot w:val="00000000"/>
    <w:rsid w:val="040929AB"/>
    <w:rsid w:val="04960E16"/>
    <w:rsid w:val="08922920"/>
    <w:rsid w:val="0AE14D72"/>
    <w:rsid w:val="2DA92C79"/>
    <w:rsid w:val="4F9A4DEF"/>
    <w:rsid w:val="52B129B7"/>
    <w:rsid w:val="5E5003CB"/>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uiPriority w:val="0"/>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
    <w:name w:val="标题 11"/>
    <w:basedOn w:val="1"/>
    <w:next w:val="1"/>
    <w:qFormat/>
    <w:uiPriority w:val="0"/>
    <w:pPr>
      <w:keepNext/>
      <w:keepLines/>
      <w:widowControl/>
      <w:numPr>
        <w:ilvl w:val="0"/>
        <w:numId w:val="1"/>
      </w:numPr>
      <w:adjustRightInd w:val="0"/>
      <w:spacing w:line="580" w:lineRule="atLeast"/>
      <w:jc w:val="center"/>
      <w:textAlignment w:val="baseline"/>
      <w:outlineLvl w:val="0"/>
    </w:pPr>
    <w:rPr>
      <w:rFonts w:ascii="Times New Roman" w:hAnsi="Times New Roman" w:eastAsia="华康简标题宋" w:cs="Times New Roman"/>
      <w:kern w:val="44"/>
      <w:sz w:val="36"/>
      <w:szCs w:val="20"/>
    </w:rPr>
  </w:style>
  <w:style w:type="paragraph" w:customStyle="1" w:styleId="6">
    <w:name w:val="标题 21"/>
    <w:basedOn w:val="1"/>
    <w:next w:val="1"/>
    <w:qFormat/>
    <w:uiPriority w:val="0"/>
    <w:pPr>
      <w:keepNext/>
      <w:keepLines/>
      <w:widowControl/>
      <w:numPr>
        <w:ilvl w:val="1"/>
        <w:numId w:val="1"/>
      </w:numPr>
      <w:adjustRightInd w:val="0"/>
      <w:spacing w:before="260" w:after="260" w:line="416" w:lineRule="atLeast"/>
      <w:textAlignment w:val="baseline"/>
      <w:outlineLvl w:val="1"/>
    </w:pPr>
    <w:rPr>
      <w:rFonts w:ascii="Arial" w:hAnsi="Arial" w:eastAsia="黑体" w:cs="Times New Roman"/>
      <w:b/>
      <w:kern w:val="0"/>
      <w:szCs w:val="20"/>
    </w:rPr>
  </w:style>
  <w:style w:type="paragraph" w:customStyle="1" w:styleId="7">
    <w:name w:val="标题 31"/>
    <w:basedOn w:val="1"/>
    <w:next w:val="1"/>
    <w:qFormat/>
    <w:uiPriority w:val="0"/>
    <w:pPr>
      <w:keepNext/>
      <w:keepLines/>
      <w:widowControl/>
      <w:numPr>
        <w:ilvl w:val="2"/>
        <w:numId w:val="1"/>
      </w:numPr>
      <w:adjustRightInd w:val="0"/>
      <w:spacing w:before="260" w:after="260" w:line="416" w:lineRule="atLeast"/>
      <w:textAlignment w:val="baseline"/>
      <w:outlineLvl w:val="2"/>
    </w:pPr>
    <w:rPr>
      <w:rFonts w:ascii="Times New Roman" w:hAnsi="Times New Roman" w:eastAsia="宋体" w:cs="Times New Roman"/>
      <w:b/>
      <w:kern w:val="0"/>
      <w:szCs w:val="20"/>
    </w:rPr>
  </w:style>
  <w:style w:type="paragraph" w:customStyle="1" w:styleId="8">
    <w:name w:val="标题 41"/>
    <w:basedOn w:val="1"/>
    <w:next w:val="1"/>
    <w:qFormat/>
    <w:uiPriority w:val="0"/>
    <w:pPr>
      <w:keepNext/>
      <w:keepLines/>
      <w:widowControl/>
      <w:numPr>
        <w:ilvl w:val="3"/>
        <w:numId w:val="1"/>
      </w:numPr>
      <w:adjustRightInd w:val="0"/>
      <w:spacing w:before="280" w:after="290" w:line="376" w:lineRule="atLeast"/>
      <w:textAlignment w:val="baseline"/>
      <w:outlineLvl w:val="3"/>
    </w:pPr>
    <w:rPr>
      <w:rFonts w:ascii="Arial" w:hAnsi="Arial" w:eastAsia="黑体" w:cs="Times New Roman"/>
      <w:b/>
      <w:kern w:val="0"/>
      <w:sz w:val="28"/>
      <w:szCs w:val="20"/>
    </w:rPr>
  </w:style>
  <w:style w:type="paragraph" w:customStyle="1" w:styleId="9">
    <w:name w:val="标题 51"/>
    <w:basedOn w:val="1"/>
    <w:next w:val="1"/>
    <w:qFormat/>
    <w:uiPriority w:val="0"/>
    <w:pPr>
      <w:keepNext/>
      <w:keepLines/>
      <w:widowControl/>
      <w:numPr>
        <w:ilvl w:val="4"/>
        <w:numId w:val="1"/>
      </w:numPr>
      <w:adjustRightInd w:val="0"/>
      <w:spacing w:before="280" w:after="290" w:line="376" w:lineRule="atLeast"/>
      <w:textAlignment w:val="baseline"/>
      <w:outlineLvl w:val="4"/>
    </w:pPr>
    <w:rPr>
      <w:rFonts w:ascii="Times New Roman" w:hAnsi="Times New Roman" w:eastAsia="宋体" w:cs="Times New Roman"/>
      <w:b/>
      <w:kern w:val="0"/>
      <w:sz w:val="28"/>
      <w:szCs w:val="20"/>
    </w:rPr>
  </w:style>
  <w:style w:type="paragraph" w:customStyle="1" w:styleId="10">
    <w:name w:val="标题 61"/>
    <w:basedOn w:val="1"/>
    <w:next w:val="1"/>
    <w:qFormat/>
    <w:uiPriority w:val="0"/>
    <w:pPr>
      <w:keepNext/>
      <w:keepLines/>
      <w:widowControl/>
      <w:numPr>
        <w:ilvl w:val="5"/>
        <w:numId w:val="1"/>
      </w:numPr>
      <w:adjustRightInd w:val="0"/>
      <w:spacing w:before="240" w:after="64" w:line="320" w:lineRule="atLeast"/>
      <w:textAlignment w:val="baseline"/>
      <w:outlineLvl w:val="5"/>
    </w:pPr>
    <w:rPr>
      <w:rFonts w:ascii="Arial" w:hAnsi="Arial" w:eastAsia="黑体" w:cs="Times New Roman"/>
      <w:b/>
      <w:kern w:val="0"/>
      <w:sz w:val="24"/>
      <w:szCs w:val="20"/>
    </w:rPr>
  </w:style>
  <w:style w:type="paragraph" w:customStyle="1" w:styleId="11">
    <w:name w:val="标题 71"/>
    <w:basedOn w:val="1"/>
    <w:next w:val="1"/>
    <w:qFormat/>
    <w:uiPriority w:val="0"/>
    <w:pPr>
      <w:keepNext/>
      <w:keepLines/>
      <w:widowControl/>
      <w:numPr>
        <w:ilvl w:val="6"/>
        <w:numId w:val="1"/>
      </w:numPr>
      <w:adjustRightInd w:val="0"/>
      <w:spacing w:before="240" w:after="64" w:line="320" w:lineRule="atLeast"/>
      <w:textAlignment w:val="baseline"/>
      <w:outlineLvl w:val="6"/>
    </w:pPr>
    <w:rPr>
      <w:rFonts w:ascii="Times New Roman" w:hAnsi="Times New Roman" w:eastAsia="宋体" w:cs="Times New Roman"/>
      <w:b/>
      <w:kern w:val="0"/>
      <w:sz w:val="24"/>
      <w:szCs w:val="20"/>
    </w:rPr>
  </w:style>
  <w:style w:type="paragraph" w:customStyle="1" w:styleId="12">
    <w:name w:val="标题 81"/>
    <w:basedOn w:val="1"/>
    <w:next w:val="1"/>
    <w:qFormat/>
    <w:uiPriority w:val="0"/>
    <w:pPr>
      <w:keepNext/>
      <w:keepLines/>
      <w:widowControl/>
      <w:numPr>
        <w:ilvl w:val="7"/>
        <w:numId w:val="1"/>
      </w:numPr>
      <w:adjustRightInd w:val="0"/>
      <w:spacing w:before="240" w:after="64" w:line="320" w:lineRule="atLeast"/>
      <w:textAlignment w:val="baseline"/>
      <w:outlineLvl w:val="7"/>
    </w:pPr>
    <w:rPr>
      <w:rFonts w:ascii="Arial" w:hAnsi="Arial" w:eastAsia="黑体" w:cs="Times New Roman"/>
      <w:kern w:val="0"/>
      <w:sz w:val="24"/>
      <w:szCs w:val="20"/>
    </w:rPr>
  </w:style>
  <w:style w:type="paragraph" w:customStyle="1" w:styleId="13">
    <w:name w:val="标题 91"/>
    <w:basedOn w:val="1"/>
    <w:next w:val="1"/>
    <w:qFormat/>
    <w:uiPriority w:val="0"/>
    <w:pPr>
      <w:keepNext/>
      <w:keepLines/>
      <w:widowControl/>
      <w:numPr>
        <w:ilvl w:val="8"/>
        <w:numId w:val="1"/>
      </w:numPr>
      <w:adjustRightInd w:val="0"/>
      <w:spacing w:before="240" w:after="64" w:line="320" w:lineRule="atLeast"/>
      <w:textAlignment w:val="baseline"/>
      <w:outlineLvl w:val="8"/>
    </w:pPr>
    <w:rPr>
      <w:rFonts w:ascii="Arial" w:hAnsi="Arial" w:eastAsia="黑体" w:cs="Times New Roman"/>
      <w:kern w:val="0"/>
      <w:sz w:val="21"/>
      <w:szCs w:val="20"/>
    </w:rPr>
  </w:style>
  <w:style w:type="character" w:customStyle="1" w:styleId="14">
    <w:name w:val="默认段落字体1"/>
    <w:qFormat/>
    <w:uiPriority w:val="0"/>
    <w:rPr>
      <w:rFonts w:ascii="Times New Roman" w:hAnsi="Times New Roman" w:eastAsia="宋体" w:cs="Times New Roman"/>
    </w:rPr>
  </w:style>
  <w:style w:type="table" w:customStyle="1" w:styleId="15">
    <w:name w:val="普通表格1"/>
    <w:qFormat/>
    <w:uiPriority w:val="0"/>
    <w:tblPr>
      <w:tblCellMar>
        <w:top w:w="0" w:type="dxa"/>
        <w:left w:w="108" w:type="dxa"/>
        <w:bottom w:w="0" w:type="dxa"/>
        <w:right w:w="108" w:type="dxa"/>
      </w:tblCellMar>
    </w:tblPr>
  </w:style>
  <w:style w:type="paragraph" w:customStyle="1" w:styleId="16">
    <w:name w:val="页眉1"/>
    <w:basedOn w:val="1"/>
    <w:qFormat/>
    <w:uiPriority w:val="0"/>
    <w:pPr>
      <w:tabs>
        <w:tab w:val="center" w:pos="4153"/>
        <w:tab w:val="right" w:pos="8306"/>
      </w:tabs>
      <w:snapToGrid w:val="0"/>
      <w:jc w:val="center"/>
    </w:pPr>
    <w:rPr>
      <w:rFonts w:ascii="Times New Roman" w:hAnsi="Times New Roman" w:eastAsia="宋体" w:cs="Times New Roman"/>
      <w:sz w:val="18"/>
      <w:szCs w:val="18"/>
    </w:rPr>
  </w:style>
  <w:style w:type="paragraph" w:customStyle="1" w:styleId="17">
    <w:name w:val="正文缩进1"/>
    <w:basedOn w:val="1"/>
    <w:qFormat/>
    <w:uiPriority w:val="0"/>
    <w:pPr>
      <w:ind w:firstLine="420" w:firstLineChars="200"/>
    </w:pPr>
    <w:rPr>
      <w:rFonts w:ascii="Times New Roman" w:hAnsi="Times New Roman" w:eastAsia="宋体" w:cs="Times New Roman"/>
    </w:rPr>
  </w:style>
  <w:style w:type="paragraph" w:customStyle="1" w:styleId="18">
    <w:name w:val="正文文本1"/>
    <w:basedOn w:val="1"/>
    <w:qFormat/>
    <w:uiPriority w:val="0"/>
    <w:pPr>
      <w:jc w:val="center"/>
    </w:pPr>
    <w:rPr>
      <w:rFonts w:ascii="Times New Roman" w:hAnsi="Times New Roman" w:eastAsia="宋体" w:cs="Times New Roman"/>
      <w:b/>
      <w:bCs/>
    </w:rPr>
  </w:style>
  <w:style w:type="paragraph" w:customStyle="1" w:styleId="19">
    <w:name w:val="正文文本缩进1"/>
    <w:basedOn w:val="1"/>
    <w:qFormat/>
    <w:uiPriority w:val="0"/>
    <w:pPr>
      <w:topLinePunct/>
      <w:autoSpaceDE w:val="0"/>
      <w:autoSpaceDN w:val="0"/>
      <w:spacing w:line="540" w:lineRule="atLeast"/>
      <w:ind w:firstLine="600"/>
    </w:pPr>
    <w:rPr>
      <w:rFonts w:ascii="华康简标题宋" w:hAnsi="Times New Roman" w:eastAsia="宋体" w:cs="Times New Roman"/>
      <w:sz w:val="30"/>
    </w:rPr>
  </w:style>
  <w:style w:type="paragraph" w:customStyle="1" w:styleId="20">
    <w:name w:val="纯文本1"/>
    <w:basedOn w:val="1"/>
    <w:qFormat/>
    <w:uiPriority w:val="0"/>
    <w:rPr>
      <w:rFonts w:ascii="宋体" w:hAnsi="Times New Roman" w:eastAsia="宋体" w:cs="Times New Roman"/>
      <w:sz w:val="30"/>
      <w:szCs w:val="21"/>
      <w:lang w:bidi="ar-SA"/>
    </w:rPr>
  </w:style>
  <w:style w:type="paragraph" w:customStyle="1" w:styleId="21">
    <w:name w:val="日期1"/>
    <w:basedOn w:val="1"/>
    <w:next w:val="1"/>
    <w:qFormat/>
    <w:uiPriority w:val="0"/>
    <w:pPr>
      <w:ind w:left="100" w:leftChars="2500"/>
    </w:pPr>
    <w:rPr>
      <w:rFonts w:ascii="Times New Roman" w:hAnsi="Times New Roman" w:eastAsia="宋体" w:cs="Times New Roman"/>
    </w:rPr>
  </w:style>
  <w:style w:type="paragraph" w:customStyle="1" w:styleId="22">
    <w:name w:val="正文文本缩进 21"/>
    <w:basedOn w:val="1"/>
    <w:qFormat/>
    <w:uiPriority w:val="0"/>
    <w:pPr>
      <w:ind w:firstLine="620" w:firstLineChars="200"/>
    </w:pPr>
    <w:rPr>
      <w:rFonts w:ascii="Times New Roman" w:hAnsi="Times New Roman" w:eastAsia="宋体" w:cs="Times New Roman"/>
      <w:sz w:val="31"/>
    </w:rPr>
  </w:style>
  <w:style w:type="paragraph" w:customStyle="1" w:styleId="23">
    <w:name w:val="批注框文本1"/>
    <w:basedOn w:val="1"/>
    <w:qFormat/>
    <w:uiPriority w:val="0"/>
    <w:rPr>
      <w:rFonts w:ascii="Times New Roman" w:hAnsi="Times New Roman" w:eastAsia="宋体" w:cs="Times New Roman"/>
      <w:sz w:val="18"/>
      <w:szCs w:val="18"/>
    </w:rPr>
  </w:style>
  <w:style w:type="paragraph" w:customStyle="1" w:styleId="24">
    <w:name w:val="页脚1"/>
    <w:basedOn w:val="1"/>
    <w:qFormat/>
    <w:uiPriority w:val="0"/>
    <w:pPr>
      <w:tabs>
        <w:tab w:val="center" w:leader="hyphen" w:pos="4153"/>
        <w:tab w:val="right" w:pos="8306"/>
      </w:tabs>
      <w:snapToGrid w:val="0"/>
      <w:jc w:val="right"/>
    </w:pPr>
    <w:rPr>
      <w:rFonts w:ascii="Times New Roman" w:hAnsi="Times New Roman" w:eastAsia="宋体" w:cs="Times New Roman"/>
      <w:sz w:val="28"/>
      <w:szCs w:val="18"/>
    </w:rPr>
  </w:style>
  <w:style w:type="paragraph" w:customStyle="1" w:styleId="25">
    <w:name w:val="正文文本 21"/>
    <w:basedOn w:val="1"/>
    <w:qFormat/>
    <w:uiPriority w:val="0"/>
    <w:pPr>
      <w:widowControl/>
      <w:jc w:val="center"/>
    </w:pPr>
    <w:rPr>
      <w:rFonts w:ascii="Times New Roman" w:hAnsi="Times New Roman" w:eastAsia="华康简标题宋" w:cs="Times New Roman"/>
      <w:color w:val="FF0000"/>
      <w:sz w:val="42"/>
      <w:szCs w:val="23"/>
    </w:rPr>
  </w:style>
  <w:style w:type="paragraph" w:customStyle="1" w:styleId="26">
    <w:name w:val="标题1"/>
    <w:basedOn w:val="1"/>
    <w:qFormat/>
    <w:uiPriority w:val="0"/>
    <w:pPr>
      <w:spacing w:before="240" w:after="60"/>
      <w:jc w:val="center"/>
      <w:outlineLvl w:val="0"/>
    </w:pPr>
    <w:rPr>
      <w:rFonts w:ascii="Times New Roman" w:hAnsi="Times New Roman" w:eastAsia="华康简标题宋" w:cs="Arial"/>
      <w:bCs/>
      <w:sz w:val="44"/>
      <w:szCs w:val="32"/>
    </w:rPr>
  </w:style>
  <w:style w:type="paragraph" w:customStyle="1" w:styleId="27">
    <w:name w:val="正文首行缩进1"/>
    <w:basedOn w:val="18"/>
    <w:qFormat/>
    <w:uiPriority w:val="0"/>
    <w:pPr>
      <w:ind w:firstLine="100" w:firstLineChars="100"/>
      <w:jc w:val="left"/>
    </w:pPr>
    <w:rPr>
      <w:rFonts w:ascii="Times New Roman" w:hAnsi="Times New Roman" w:eastAsia="宋体" w:cs="Times New Roman"/>
    </w:rPr>
  </w:style>
  <w:style w:type="character" w:customStyle="1" w:styleId="28">
    <w:name w:val="页码1"/>
    <w:basedOn w:val="14"/>
    <w:qFormat/>
    <w:uiPriority w:val="0"/>
    <w:rPr>
      <w:rFonts w:ascii="Times New Roman" w:hAnsi="Times New Roman" w:eastAsia="仿宋_GB2312" w:cs="Times New Roman"/>
      <w:sz w:val="28"/>
      <w:lang w:eastAsia="zh-CN"/>
    </w:rPr>
  </w:style>
  <w:style w:type="character" w:customStyle="1" w:styleId="29">
    <w:name w:val="超链接1"/>
    <w:basedOn w:val="14"/>
    <w:qFormat/>
    <w:uiPriority w:val="0"/>
    <w:rPr>
      <w:rFonts w:ascii="Times New Roman" w:hAnsi="Times New Roman" w:eastAsia="宋体" w:cs="Times New Roman"/>
      <w:color w:val="0000FF"/>
      <w:u w:val="single"/>
    </w:rPr>
  </w:style>
  <w:style w:type="paragraph" w:customStyle="1" w:styleId="30">
    <w:name w:val="Char"/>
    <w:basedOn w:val="1"/>
    <w:qFormat/>
    <w:uiPriority w:val="0"/>
    <w:pPr>
      <w:widowControl/>
      <w:spacing w:after="160" w:line="240" w:lineRule="exact"/>
      <w:jc w:val="left"/>
    </w:pPr>
    <w:rPr>
      <w:rFonts w:ascii="Times New Roman" w:hAnsi="Times New Roman" w:eastAsia="宋体" w:cs="Times New Roman"/>
    </w:rPr>
  </w:style>
  <w:style w:type="paragraph" w:customStyle="1" w:styleId="31">
    <w:name w:val="正文 New New"/>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E:\001&#24066;&#25919;&#24220;&#20844;&#25991;&#26684;&#24335;&#27169;&#26495;\&#19996;&#24220;&#20989;&#27169;&#26495;.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东府函模板</Template>
  <Company>dgcc</Company>
  <Pages>8</Pages>
  <Words>43</Words>
  <Characters>248</Characters>
  <Lines>2</Lines>
  <Paragraphs>1</Paragraphs>
  <TotalTime>47</TotalTime>
  <ScaleCrop>false</ScaleCrop>
  <LinksUpToDate>false</LinksUpToDate>
  <CharactersWithSpaces>290</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2016-07-19T11:04:00Z</dcterms:created>
  <dc:creator>yangl</dc:creator>
  <cp:lastModifiedBy>李秋香</cp:lastModifiedBy>
  <cp:lastPrinted>2026-07-21T07:36:01Z</cp:lastPrinted>
  <dcterms:modified xsi:type="dcterms:W3CDTF">2026-07-21T07:36:55Z</dcterms:modified>
  <dc:title>东莞市人民政府办公室</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A728D5B0E79661B93233BC67003E42F2</vt:lpwstr>
  </property>
</Properties>
</file>