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5"/>
        <w:tblW w:w="0" w:type="auto"/>
        <w:jc w:val="center"/>
        <w:tblBorders>
          <w:top w:val="none" w:color="auto" w:sz="0" w:space="0"/>
          <w:left w:val="none" w:color="auto" w:sz="0" w:space="0"/>
          <w:bottom w:val="thinThickMediumGap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none" w:color="auto" w:sz="0" w:space="0"/>
            <w:left w:val="none" w:color="auto" w:sz="0" w:space="0"/>
            <w:bottom w:val="thinThickMediumGap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9624" w:type="dxa"/>
            <w:noWrap w:val="0"/>
            <w:vAlign w:val="top"/>
          </w:tcPr>
          <w:p>
            <w:pPr>
              <w:pStyle w:val="4"/>
              <w:numPr>
                <w:ilvl w:val="0"/>
                <w:numId w:val="0"/>
              </w:numPr>
              <w:autoSpaceDE w:val="0"/>
              <w:autoSpaceDN w:val="0"/>
              <w:snapToGrid w:val="0"/>
              <w:rPr>
                <w:b/>
                <w:bCs/>
                <w:color w:val="FF0000"/>
                <w:spacing w:val="60"/>
                <w:w w:val="90"/>
                <w:kern w:val="72"/>
                <w:sz w:val="72"/>
                <w:szCs w:val="72"/>
              </w:rPr>
            </w:pPr>
            <w:bookmarkStart w:id="0" w:name="xxqqWholeArea"/>
            <w:r>
              <w:rPr>
                <w:rFonts w:eastAsia="方正小标宋简体"/>
                <w:b/>
                <w:color w:val="FF0000"/>
                <w:spacing w:val="60"/>
                <w:w w:val="90"/>
                <w:kern w:val="72"/>
                <w:sz w:val="72"/>
                <w:szCs w:val="72"/>
              </w:rPr>
              <w:t>东莞市住房和城乡建设局</w:t>
            </w:r>
          </w:p>
        </w:tc>
      </w:tr>
      <w:bookmarkEnd w:id="0"/>
    </w:tbl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b w:val="0"/>
          <w:bCs w:val="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报送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政协十四届五次会议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20260180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号提案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会办意见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市工信局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政协发来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政协十四届五次会议第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20260180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号提案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收悉。我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局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经研究，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结合职能就该提案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《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关于加大力度支持优质中小微民营企业植根东莞发展的建议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》提出会办意见如下：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对于该提案在建议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2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“深化旧厂房改造，盘活存量发展空间”中，提出“简化改造项目消防验收手续，建立正负面清单制度，在确保安全前提下优化审批要求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”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的问题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。市住房城乡建设局 市自然资源局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于</w:t>
      </w:r>
      <w:r>
        <w:rPr>
          <w:rFonts w:hint="eastAsia"/>
          <w:bCs/>
          <w:sz w:val="32"/>
          <w:szCs w:val="32"/>
        </w:rPr>
        <w:t>202</w:t>
      </w:r>
      <w:r>
        <w:rPr>
          <w:rFonts w:hint="eastAsia"/>
          <w:bCs/>
          <w:sz w:val="32"/>
          <w:szCs w:val="32"/>
          <w:lang w:val="en-US" w:eastAsia="zh-CN"/>
        </w:rPr>
        <w:t>5</w:t>
      </w:r>
      <w:r>
        <w:rPr>
          <w:rFonts w:hint="eastAsia"/>
          <w:bCs/>
          <w:sz w:val="32"/>
          <w:szCs w:val="32"/>
        </w:rPr>
        <w:t>年</w:t>
      </w:r>
      <w:r>
        <w:rPr>
          <w:rFonts w:hint="eastAsia"/>
          <w:bCs/>
          <w:sz w:val="32"/>
          <w:szCs w:val="32"/>
          <w:lang w:val="en-US" w:eastAsia="zh-CN"/>
        </w:rPr>
        <w:t>11</w:t>
      </w:r>
      <w:r>
        <w:rPr>
          <w:rFonts w:hint="eastAsia"/>
          <w:bCs/>
          <w:sz w:val="32"/>
          <w:szCs w:val="32"/>
        </w:rPr>
        <w:t>月</w:t>
      </w:r>
      <w:r>
        <w:rPr>
          <w:rFonts w:hint="eastAsia"/>
          <w:bCs/>
          <w:sz w:val="32"/>
          <w:szCs w:val="32"/>
          <w:lang w:val="en-US" w:eastAsia="zh-CN"/>
        </w:rPr>
        <w:t>14</w:t>
      </w:r>
      <w:r>
        <w:rPr>
          <w:rFonts w:hint="eastAsia"/>
          <w:bCs/>
          <w:sz w:val="32"/>
          <w:szCs w:val="32"/>
        </w:rPr>
        <w:t>日</w:t>
      </w:r>
      <w:r>
        <w:rPr>
          <w:rFonts w:hint="eastAsia"/>
          <w:bCs/>
          <w:sz w:val="32"/>
          <w:szCs w:val="32"/>
          <w:lang w:eastAsia="zh-CN"/>
        </w:rPr>
        <w:t>已联合出台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《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关于印发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〈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东莞市既有建筑改变使用功能规划消防联合审查管理办法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〉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的通知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》（</w:t>
      </w:r>
      <w:r>
        <w:rPr>
          <w:rFonts w:hint="eastAsia"/>
          <w:sz w:val="32"/>
          <w:szCs w:val="32"/>
          <w:lang w:val="en-US" w:eastAsia="zh-CN"/>
        </w:rPr>
        <w:t>东住建规</w:t>
      </w:r>
      <w:r>
        <w:rPr>
          <w:sz w:val="32"/>
          <w:szCs w:val="32"/>
        </w:rPr>
        <w:t>〔20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DOCVARIABLE FlFileYear \* MERGEFORMAT </w:instrText>
      </w:r>
      <w:r>
        <w:rPr>
          <w:sz w:val="32"/>
          <w:szCs w:val="32"/>
        </w:rPr>
        <w:fldChar w:fldCharType="end"/>
      </w:r>
      <w:r>
        <w:rPr>
          <w:sz w:val="32"/>
          <w:szCs w:val="32"/>
        </w:rPr>
        <w:t>〕</w:t>
      </w:r>
      <w:r>
        <w:rPr>
          <w:rFonts w:hint="eastAsia"/>
          <w:sz w:val="32"/>
          <w:szCs w:val="32"/>
          <w:lang w:val="en-US" w:eastAsia="zh-CN"/>
        </w:rPr>
        <w:t>13</w:t>
      </w:r>
      <w:r>
        <w:rPr>
          <w:sz w:val="32"/>
          <w:szCs w:val="32"/>
        </w:rPr>
        <w:t>号</w:t>
      </w:r>
      <w:r>
        <w:rPr>
          <w:rFonts w:hint="eastAsia"/>
          <w:sz w:val="32"/>
          <w:szCs w:val="32"/>
          <w:lang w:eastAsia="zh-CN"/>
        </w:rPr>
        <w:t>，下称通知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），对</w:t>
      </w:r>
      <w:r>
        <w:rPr>
          <w:rFonts w:hint="eastAsia" w:ascii="Times New Roman" w:hAnsi="Times New Roman" w:eastAsia="仿宋_GB2312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开展既有建筑消防设计审查</w:t>
      </w:r>
      <w:r>
        <w:rPr>
          <w:rFonts w:hint="eastAsia" w:ascii="Times New Roman" w:hAnsi="Times New Roman" w:eastAsia="仿宋_GB2312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消防验收</w:t>
      </w:r>
      <w:r>
        <w:rPr>
          <w:rFonts w:hint="eastAsia" w:ascii="Times New Roman" w:hAnsi="Times New Roman" w:eastAsia="仿宋_GB2312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和</w:t>
      </w:r>
      <w:r>
        <w:rPr>
          <w:rFonts w:hint="eastAsia" w:ascii="Times New Roman" w:hAnsi="Times New Roman" w:eastAsia="仿宋_GB2312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消防验收备案各项工作，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shd w:val="clear" w:color="auto" w:fill="auto"/>
        </w:rPr>
        <w:t>建立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shd w:val="clear" w:color="auto" w:fill="auto"/>
          <w:lang w:eastAsia="zh-CN"/>
        </w:rPr>
        <w:t>自然资源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shd w:val="clear" w:color="auto" w:fill="auto"/>
        </w:rPr>
        <w:t>部门与住房城乡建设部门联合审查工作机制，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通过正、负面清单的形式进行管理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提高审查效率，</w:t>
      </w:r>
      <w:r>
        <w:rPr>
          <w:rFonts w:hint="eastAsia" w:ascii="Times New Roman" w:hAnsi="Times New Roman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支持</w:t>
      </w:r>
      <w:r>
        <w:rPr>
          <w:rFonts w:hint="eastAsia" w:ascii="Times New Roman" w:hAnsi="Times New Roman" w:eastAsia="仿宋_GB2312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既有建筑合理利用</w:t>
      </w:r>
      <w:r>
        <w:rPr>
          <w:rFonts w:hint="eastAsia" w:ascii="Times New Roman" w:hAnsi="Times New Roman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进一步优化</w:t>
      </w:r>
      <w:r>
        <w:rPr>
          <w:rFonts w:hint="eastAsia" w:ascii="Times New Roman" w:hAnsi="Times New Roman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我市</w:t>
      </w:r>
      <w:r>
        <w:rPr>
          <w:rFonts w:hint="eastAsia" w:ascii="Times New Roman" w:hAnsi="Times New Roman" w:eastAsia="仿宋_GB2312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营商环境</w:t>
      </w:r>
      <w:r>
        <w:rPr>
          <w:rFonts w:hint="eastAsia" w:ascii="Times New Roman" w:hAnsi="Times New Roman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cs="Times New Roman"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《通知》将</w:t>
      </w:r>
      <w:r>
        <w:rPr>
          <w:rFonts w:hint="eastAsia" w:ascii="Times New Roman" w:hAnsi="Times New Roman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/>
        </w:rPr>
        <w:t>“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工业厂房、仓库建筑不涉及提高生产或储存物品火灾危险性等级，且在不改变项目用地性质对应的主要功能的前提下，进行调整或者互换；既有建筑因消防要求需增加室外疏散钢梯、室外消防疏散口和地面成品水箱等设施及构筑物，增设设施及构筑物位于建筑红线范围内，不临城市主干道且不会对周边建筑防火间距以及市政道路、消防通道的使用产生不良影响的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行为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；其他同一规划用途下建筑内部经营业态的调整。</w:t>
      </w:r>
      <w:r>
        <w:rPr>
          <w:rFonts w:hint="eastAsia" w:ascii="Times New Roman" w:hAnsi="Times New Roman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/>
        </w:rPr>
        <w:t>”</w:t>
      </w:r>
      <w:r>
        <w:rPr>
          <w:rFonts w:hint="eastAsia" w:ascii="Times New Roman" w:hAnsi="Times New Roman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列为</w:t>
      </w:r>
      <w:r>
        <w:rPr>
          <w:rFonts w:hint="eastAsia" w:ascii="Times New Roman" w:hAnsi="Times New Roman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/>
        </w:rPr>
        <w:t>既有工业厂房、仓库建筑</w:t>
      </w:r>
      <w:r>
        <w:rPr>
          <w:rFonts w:hint="eastAsia" w:ascii="Times New Roman" w:hAnsi="Times New Roman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改造行为</w:t>
      </w:r>
      <w:r>
        <w:rPr>
          <w:rFonts w:hint="eastAsia" w:ascii="Times New Roman" w:hAnsi="Times New Roman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/>
        </w:rPr>
        <w:t>正面清单，对于符合上述情形的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旧厂房改造项目，在办理消防审验手续时，可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免于办理建设工程规划许可证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，直接由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住房城乡建设部门依程序办理建设工程消防设计审查验收或者备案。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同时，</w:t>
      </w:r>
      <w:r>
        <w:rPr>
          <w:rFonts w:hint="eastAsia" w:ascii="Times New Roman" w:hAnsi="Times New Roman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《通知》将“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</w:rPr>
        <w:t>未经批准擅自将建筑用途转为易燃易爆、危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险物品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</w:rPr>
        <w:t>生产加工存储、危废存储等功能的；未经批准擅自封闭架空层、增加隔层等增加建筑面积进行使用的；其他明显与建设工程规划许可用途不符的</w:t>
      </w:r>
      <w:r>
        <w:rPr>
          <w:rFonts w:hint="eastAsia" w:ascii="Times New Roman" w:hAnsi="Times New Roman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”的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旧厂房改造行为</w:t>
      </w:r>
      <w:r>
        <w:rPr>
          <w:rFonts w:hint="eastAsia" w:ascii="Times New Roman" w:hAnsi="Times New Roman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列入负面清单，明确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</w:rPr>
        <w:t>住房和城乡建设主管部门依法不予受理消防设计审查验收或者备案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下一步，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我局将会同市自然资源局，结合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该政协委员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的建议，立足部门职责，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继续深入研究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既有建筑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改造的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消防联合审查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政策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根据城市发展需求、政策变化以及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既有制度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实际执行情况，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对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正、负面清单适时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进行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调整修订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扎实推进</w:t>
      </w:r>
      <w:r>
        <w:rPr>
          <w:rFonts w:hint="eastAsia" w:ascii="Times New Roman" w:hAnsi="Times New Roman" w:eastAsia="仿宋_GB2312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既有建筑消防</w:t>
      </w:r>
      <w:r>
        <w:rPr>
          <w:rFonts w:hint="eastAsia" w:ascii="Times New Roman" w:hAnsi="Times New Roman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审验相关</w:t>
      </w:r>
      <w:r>
        <w:rPr>
          <w:rFonts w:hint="eastAsia" w:ascii="Times New Roman" w:hAnsi="Times New Roman" w:eastAsia="仿宋_GB2312" w:cs="Times New Roman"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工作，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推动我市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既有建筑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改造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工作更上新台阶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此复。</w:t>
      </w:r>
    </w:p>
    <w:p>
      <w:pPr>
        <w:spacing w:line="560" w:lineRule="exact"/>
        <w:ind w:right="480"/>
        <w:jc w:val="both"/>
        <w:rPr>
          <w:sz w:val="32"/>
          <w:szCs w:val="32"/>
        </w:rPr>
      </w:pPr>
    </w:p>
    <w:p>
      <w:pPr>
        <w:spacing w:line="560" w:lineRule="exact"/>
        <w:ind w:right="480"/>
        <w:jc w:val="right"/>
        <w:rPr>
          <w:sz w:val="32"/>
          <w:szCs w:val="32"/>
        </w:rPr>
      </w:pPr>
      <w:bookmarkStart w:id="1" w:name="_GoBack"/>
      <w:bookmarkEnd w:id="1"/>
    </w:p>
    <w:p>
      <w:pPr>
        <w:spacing w:line="560" w:lineRule="exact"/>
        <w:ind w:right="480" w:firstLine="320" w:firstLineChars="100"/>
        <w:jc w:val="both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（此页无正文）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sz w:val="32"/>
          <w:szCs w:val="32"/>
        </w:rPr>
      </w:pPr>
      <w:r>
        <w:rPr>
          <w:sz w:val="32"/>
          <w:szCs w:val="32"/>
        </w:rPr>
        <w:t>东莞市住房和城乡建设局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20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18</w:t>
      </w:r>
      <w:r>
        <w:rPr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sz w:val="32"/>
          <w:szCs w:val="32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b w:val="0"/>
          <w:bCs w:val="0"/>
        </w:rPr>
      </w:pPr>
      <w:r>
        <w:rPr>
          <w:b w:val="0"/>
          <w:bCs w:val="0"/>
          <w:sz w:val="32"/>
          <w:szCs w:val="32"/>
        </w:rPr>
        <w:t>（经办人：</w:t>
      </w:r>
      <w:r>
        <w:rPr>
          <w:rFonts w:hint="eastAsia"/>
          <w:b w:val="0"/>
          <w:bCs w:val="0"/>
          <w:sz w:val="32"/>
          <w:szCs w:val="32"/>
          <w:lang w:eastAsia="zh-CN"/>
        </w:rPr>
        <w:t>消防科</w:t>
      </w:r>
      <w:r>
        <w:rPr>
          <w:b w:val="0"/>
          <w:bCs w:val="0"/>
          <w:sz w:val="32"/>
          <w:szCs w:val="32"/>
        </w:rPr>
        <w:t xml:space="preserve"> </w:t>
      </w:r>
      <w:r>
        <w:rPr>
          <w:rFonts w:hint="eastAsia"/>
          <w:b w:val="0"/>
          <w:bCs w:val="0"/>
          <w:sz w:val="32"/>
          <w:szCs w:val="32"/>
          <w:lang w:eastAsia="zh-CN"/>
        </w:rPr>
        <w:t>陈浩明</w:t>
      </w:r>
      <w:r>
        <w:rPr>
          <w:b w:val="0"/>
          <w:bCs w:val="0"/>
          <w:sz w:val="32"/>
          <w:szCs w:val="32"/>
        </w:rPr>
        <w:t>，联系电话：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22671679。</w:t>
      </w:r>
      <w:r>
        <w:rPr>
          <w:b w:val="0"/>
          <w:bCs w:val="0"/>
          <w:sz w:val="32"/>
          <w:szCs w:val="32"/>
        </w:rPr>
        <w:t>）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304" w:gutter="0"/>
      <w:pgBorders w:display="firstPage">
        <w:bottom w:val="thickThinSmallGap" w:color="FF0000" w:sz="24" w:space="2"/>
      </w:pgBorders>
      <w:cols w:space="720" w:num="1"/>
      <w:titlePg/>
      <w:docGrid w:type="linesAndChars" w:linePitch="5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康简标题宋">
    <w:altName w:val="方正书宋_GBK"/>
    <w:panose1 w:val="02020900000000000000"/>
    <w:charset w:val="86"/>
    <w:family w:val="modern"/>
    <w:pitch w:val="default"/>
    <w:sig w:usb0="00000000" w:usb1="00000000" w:usb2="00000012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framePr w:w="1067" w:h="562" w:hRule="exact" w:wrap="around" w:vAnchor="text" w:hAnchor="page" w:x="9554" w:y="-286"/>
      <w:jc w:val="center"/>
      <w:rPr>
        <w:rStyle w:val="27"/>
        <w:rFonts w:hint="eastAsia"/>
      </w:rPr>
    </w:pPr>
    <w:r>
      <w:rPr>
        <w:rStyle w:val="27"/>
        <w:rFonts w:hint="eastAsia"/>
      </w:rPr>
      <w:t>—</w:t>
    </w:r>
    <w:r>
      <w:rPr>
        <w:rStyle w:val="27"/>
      </w:rPr>
      <w:fldChar w:fldCharType="begin"/>
    </w:r>
    <w:r>
      <w:rPr>
        <w:rStyle w:val="27"/>
      </w:rPr>
      <w:instrText xml:space="preserve">PAGE  </w:instrText>
    </w:r>
    <w:r>
      <w:rPr>
        <w:rStyle w:val="27"/>
      </w:rPr>
      <w:fldChar w:fldCharType="separate"/>
    </w:r>
    <w:r>
      <w:rPr>
        <w:rStyle w:val="27"/>
      </w:rPr>
      <w:t>3</w:t>
    </w:r>
    <w:r>
      <w:rPr>
        <w:rStyle w:val="27"/>
      </w:rPr>
      <w:fldChar w:fldCharType="end"/>
    </w:r>
    <w:r>
      <w:rPr>
        <w:rStyle w:val="27"/>
        <w:rFonts w:hint="eastAsia"/>
      </w:rPr>
      <w:t>—</w:t>
    </w:r>
  </w:p>
  <w:p>
    <w:pPr>
      <w:pStyle w:val="1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framePr w:wrap="notBeside" w:vAnchor="page" w:hAnchor="page" w:x="1625" w:y="14927"/>
      <w:rPr>
        <w:rStyle w:val="27"/>
      </w:rPr>
    </w:pPr>
    <w:r>
      <w:rPr>
        <w:rStyle w:val="27"/>
        <w:rFonts w:hint="eastAsia"/>
      </w:rPr>
      <w:t>—</w:t>
    </w:r>
    <w:r>
      <w:rPr>
        <w:rStyle w:val="27"/>
      </w:rPr>
      <w:fldChar w:fldCharType="begin"/>
    </w:r>
    <w:r>
      <w:rPr>
        <w:rStyle w:val="27"/>
      </w:rPr>
      <w:instrText xml:space="preserve">PAGE  </w:instrText>
    </w:r>
    <w:r>
      <w:rPr>
        <w:rStyle w:val="27"/>
      </w:rPr>
      <w:fldChar w:fldCharType="separate"/>
    </w:r>
    <w:r>
      <w:rPr>
        <w:rStyle w:val="27"/>
      </w:rPr>
      <w:t>2</w:t>
    </w:r>
    <w:r>
      <w:rPr>
        <w:rStyle w:val="27"/>
      </w:rPr>
      <w:fldChar w:fldCharType="end"/>
    </w:r>
    <w:r>
      <w:rPr>
        <w:rStyle w:val="27"/>
        <w:rFonts w:hint="eastAsia"/>
      </w:rPr>
      <w:t>—</w:t>
    </w:r>
  </w:p>
  <w:p>
    <w:pPr>
      <w:pStyle w:val="19"/>
      <w:ind w:right="360"/>
      <w:jc w:val="both"/>
      <w:rPr>
        <w:sz w:val="1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none"/>
      <w:pStyle w:val="4"/>
      <w:suff w:val="nothing"/>
      <w:lvlText w:val=""/>
      <w:lvlJc w:val="left"/>
    </w:lvl>
    <w:lvl w:ilvl="1" w:tentative="0">
      <w:start w:val="0"/>
      <w:numFmt w:val="decimal"/>
      <w:pStyle w:val="5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pStyle w:val="6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pStyle w:val="7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pStyle w:val="8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pStyle w:val="9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pStyle w:val="10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pStyle w:val="11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pStyle w:val="12"/>
      <w:lvlText w:val="%9"/>
      <w:legacy w:legacy="1" w:legacySpace="0" w:legacyIndent="0"/>
      <w:lvlJc w:val="left"/>
      <w:rPr>
        <w:rFonts w:hint="eastAsia" w:ascii="宋体" w:eastAsia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alignBordersAndEdges w:val="true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evenAndOddHeaders w:val="true"/>
  <w:drawingGridHorizontalSpacing w:val="160"/>
  <w:drawingGridVerticalSpacing w:val="280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E4"/>
    <w:rsid w:val="00013C15"/>
    <w:rsid w:val="000306FC"/>
    <w:rsid w:val="000661C3"/>
    <w:rsid w:val="00067264"/>
    <w:rsid w:val="000707C3"/>
    <w:rsid w:val="000A057C"/>
    <w:rsid w:val="000F2F72"/>
    <w:rsid w:val="00105145"/>
    <w:rsid w:val="00111C07"/>
    <w:rsid w:val="001152E3"/>
    <w:rsid w:val="00122F7A"/>
    <w:rsid w:val="00171A1E"/>
    <w:rsid w:val="001947FE"/>
    <w:rsid w:val="001B1D84"/>
    <w:rsid w:val="001C6DC2"/>
    <w:rsid w:val="001E1BA4"/>
    <w:rsid w:val="002000C9"/>
    <w:rsid w:val="0021022E"/>
    <w:rsid w:val="00212CA0"/>
    <w:rsid w:val="002357E0"/>
    <w:rsid w:val="00256800"/>
    <w:rsid w:val="002645C8"/>
    <w:rsid w:val="00284322"/>
    <w:rsid w:val="00293F60"/>
    <w:rsid w:val="00295B41"/>
    <w:rsid w:val="002975C2"/>
    <w:rsid w:val="003224B6"/>
    <w:rsid w:val="0034421C"/>
    <w:rsid w:val="00380116"/>
    <w:rsid w:val="003B62D6"/>
    <w:rsid w:val="003D4612"/>
    <w:rsid w:val="0042419C"/>
    <w:rsid w:val="004522E4"/>
    <w:rsid w:val="00457118"/>
    <w:rsid w:val="00483FB0"/>
    <w:rsid w:val="004A2681"/>
    <w:rsid w:val="004A2D4C"/>
    <w:rsid w:val="004C2023"/>
    <w:rsid w:val="00517238"/>
    <w:rsid w:val="00523B57"/>
    <w:rsid w:val="00527317"/>
    <w:rsid w:val="00566A3C"/>
    <w:rsid w:val="005677AE"/>
    <w:rsid w:val="005700E1"/>
    <w:rsid w:val="0057562A"/>
    <w:rsid w:val="005B083F"/>
    <w:rsid w:val="005B57F3"/>
    <w:rsid w:val="005D6168"/>
    <w:rsid w:val="00614A86"/>
    <w:rsid w:val="00617921"/>
    <w:rsid w:val="006432FD"/>
    <w:rsid w:val="006524A4"/>
    <w:rsid w:val="00654F18"/>
    <w:rsid w:val="00660F61"/>
    <w:rsid w:val="006639C5"/>
    <w:rsid w:val="006C64D3"/>
    <w:rsid w:val="006D0B1E"/>
    <w:rsid w:val="006D5CD5"/>
    <w:rsid w:val="006D664F"/>
    <w:rsid w:val="0072201F"/>
    <w:rsid w:val="00726032"/>
    <w:rsid w:val="00741695"/>
    <w:rsid w:val="00753606"/>
    <w:rsid w:val="00764CFA"/>
    <w:rsid w:val="007A2426"/>
    <w:rsid w:val="007A5C5B"/>
    <w:rsid w:val="007C18AB"/>
    <w:rsid w:val="007D7EA4"/>
    <w:rsid w:val="008056B8"/>
    <w:rsid w:val="00807BDC"/>
    <w:rsid w:val="00824F92"/>
    <w:rsid w:val="008433A5"/>
    <w:rsid w:val="008A546F"/>
    <w:rsid w:val="008A6105"/>
    <w:rsid w:val="00905E6C"/>
    <w:rsid w:val="00907475"/>
    <w:rsid w:val="00907EF3"/>
    <w:rsid w:val="009238B8"/>
    <w:rsid w:val="0093318E"/>
    <w:rsid w:val="0095665B"/>
    <w:rsid w:val="00961D25"/>
    <w:rsid w:val="00967E74"/>
    <w:rsid w:val="00982ED9"/>
    <w:rsid w:val="009911E9"/>
    <w:rsid w:val="00994802"/>
    <w:rsid w:val="009A292C"/>
    <w:rsid w:val="009A4F0C"/>
    <w:rsid w:val="009C5E03"/>
    <w:rsid w:val="009F5600"/>
    <w:rsid w:val="00A30DE5"/>
    <w:rsid w:val="00A450E9"/>
    <w:rsid w:val="00A8355F"/>
    <w:rsid w:val="00AA31BE"/>
    <w:rsid w:val="00AA7CAA"/>
    <w:rsid w:val="00AB5EA8"/>
    <w:rsid w:val="00AD0583"/>
    <w:rsid w:val="00AE5957"/>
    <w:rsid w:val="00B01CCB"/>
    <w:rsid w:val="00B21BDF"/>
    <w:rsid w:val="00B25A02"/>
    <w:rsid w:val="00B40F3A"/>
    <w:rsid w:val="00B43EFA"/>
    <w:rsid w:val="00B74DC6"/>
    <w:rsid w:val="00B97CC4"/>
    <w:rsid w:val="00BA3B9E"/>
    <w:rsid w:val="00BC13BD"/>
    <w:rsid w:val="00BC549A"/>
    <w:rsid w:val="00C066B0"/>
    <w:rsid w:val="00C076FE"/>
    <w:rsid w:val="00C128BE"/>
    <w:rsid w:val="00C613B2"/>
    <w:rsid w:val="00C65C2B"/>
    <w:rsid w:val="00C95D21"/>
    <w:rsid w:val="00CC51E6"/>
    <w:rsid w:val="00CC7ABD"/>
    <w:rsid w:val="00CE6A0E"/>
    <w:rsid w:val="00CE7660"/>
    <w:rsid w:val="00D04E7B"/>
    <w:rsid w:val="00D156AC"/>
    <w:rsid w:val="00D23822"/>
    <w:rsid w:val="00D316EB"/>
    <w:rsid w:val="00D36B77"/>
    <w:rsid w:val="00D47A0C"/>
    <w:rsid w:val="00D6578A"/>
    <w:rsid w:val="00D82595"/>
    <w:rsid w:val="00DC2705"/>
    <w:rsid w:val="00DC5A47"/>
    <w:rsid w:val="00DD7C67"/>
    <w:rsid w:val="00DF21C8"/>
    <w:rsid w:val="00DF7D5E"/>
    <w:rsid w:val="00E23515"/>
    <w:rsid w:val="00E27088"/>
    <w:rsid w:val="00E374F9"/>
    <w:rsid w:val="00E96FB3"/>
    <w:rsid w:val="00EA0269"/>
    <w:rsid w:val="00EA34FD"/>
    <w:rsid w:val="00EF132A"/>
    <w:rsid w:val="00F01FEA"/>
    <w:rsid w:val="00F60959"/>
    <w:rsid w:val="00F8102E"/>
    <w:rsid w:val="00FB3DB4"/>
    <w:rsid w:val="00FC12CF"/>
    <w:rsid w:val="00FC15F6"/>
    <w:rsid w:val="00FC6146"/>
    <w:rsid w:val="00FE72CD"/>
    <w:rsid w:val="00FF3126"/>
    <w:rsid w:val="0D1F1433"/>
    <w:rsid w:val="11C07BB1"/>
    <w:rsid w:val="146E0770"/>
    <w:rsid w:val="17814E1C"/>
    <w:rsid w:val="1B8B761F"/>
    <w:rsid w:val="1E354B3C"/>
    <w:rsid w:val="28142B55"/>
    <w:rsid w:val="29DD7F4B"/>
    <w:rsid w:val="34416C81"/>
    <w:rsid w:val="35F30441"/>
    <w:rsid w:val="413A2E1C"/>
    <w:rsid w:val="420B223B"/>
    <w:rsid w:val="45277D0B"/>
    <w:rsid w:val="48F600DF"/>
    <w:rsid w:val="4E165BA3"/>
    <w:rsid w:val="4F4B1D89"/>
    <w:rsid w:val="59041C1C"/>
    <w:rsid w:val="597FBEF8"/>
    <w:rsid w:val="5BD35411"/>
    <w:rsid w:val="5FD05A06"/>
    <w:rsid w:val="636A1027"/>
    <w:rsid w:val="64B762F0"/>
    <w:rsid w:val="665803F5"/>
    <w:rsid w:val="738F4DB8"/>
    <w:rsid w:val="777C70C3"/>
    <w:rsid w:val="795E1D0A"/>
    <w:rsid w:val="7B7B8F8A"/>
    <w:rsid w:val="7E67E871"/>
    <w:rsid w:val="7F77BDE5"/>
    <w:rsid w:val="7FFB13FF"/>
    <w:rsid w:val="7FFD73F9"/>
    <w:rsid w:val="7FFF37B0"/>
    <w:rsid w:val="AC8F1EEA"/>
    <w:rsid w:val="BDAFA8DA"/>
    <w:rsid w:val="C1B54952"/>
    <w:rsid w:val="F3DFD532"/>
    <w:rsid w:val="FC6FFD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widowControl/>
      <w:numPr>
        <w:ilvl w:val="0"/>
        <w:numId w:val="1"/>
      </w:numPr>
      <w:adjustRightInd w:val="0"/>
      <w:spacing w:line="580" w:lineRule="atLeast"/>
      <w:jc w:val="center"/>
      <w:textAlignment w:val="baseline"/>
      <w:outlineLvl w:val="0"/>
    </w:pPr>
    <w:rPr>
      <w:rFonts w:eastAsia="华康简标题宋"/>
      <w:kern w:val="44"/>
      <w:sz w:val="36"/>
      <w:szCs w:val="20"/>
    </w:rPr>
  </w:style>
  <w:style w:type="paragraph" w:styleId="5">
    <w:name w:val="heading 2"/>
    <w:basedOn w:val="1"/>
    <w:next w:val="1"/>
    <w:qFormat/>
    <w:uiPriority w:val="0"/>
    <w:pPr>
      <w:keepNext/>
      <w:keepLines/>
      <w:widowControl/>
      <w:numPr>
        <w:ilvl w:val="1"/>
        <w:numId w:val="1"/>
      </w:numPr>
      <w:adjustRightInd w:val="0"/>
      <w:spacing w:before="260" w:after="260" w:line="416" w:lineRule="atLeast"/>
      <w:textAlignment w:val="baseline"/>
      <w:outlineLvl w:val="1"/>
    </w:pPr>
    <w:rPr>
      <w:rFonts w:ascii="Arial" w:hAnsi="Arial" w:eastAsia="黑体"/>
      <w:b/>
      <w:kern w:val="0"/>
      <w:szCs w:val="20"/>
    </w:rPr>
  </w:style>
  <w:style w:type="paragraph" w:styleId="6">
    <w:name w:val="heading 3"/>
    <w:basedOn w:val="1"/>
    <w:next w:val="1"/>
    <w:qFormat/>
    <w:uiPriority w:val="0"/>
    <w:pPr>
      <w:keepNext/>
      <w:keepLines/>
      <w:widowControl/>
      <w:numPr>
        <w:ilvl w:val="2"/>
        <w:numId w:val="1"/>
      </w:numPr>
      <w:adjustRightInd w:val="0"/>
      <w:spacing w:before="260" w:after="260" w:line="416" w:lineRule="atLeast"/>
      <w:textAlignment w:val="baseline"/>
      <w:outlineLvl w:val="2"/>
    </w:pPr>
    <w:rPr>
      <w:b/>
      <w:kern w:val="0"/>
      <w:szCs w:val="20"/>
    </w:rPr>
  </w:style>
  <w:style w:type="paragraph" w:styleId="7">
    <w:name w:val="heading 4"/>
    <w:basedOn w:val="1"/>
    <w:next w:val="1"/>
    <w:qFormat/>
    <w:uiPriority w:val="0"/>
    <w:pPr>
      <w:keepNext/>
      <w:keepLines/>
      <w:widowControl/>
      <w:numPr>
        <w:ilvl w:val="3"/>
        <w:numId w:val="1"/>
      </w:numPr>
      <w:adjustRightInd w:val="0"/>
      <w:spacing w:before="280" w:after="290" w:line="376" w:lineRule="atLeast"/>
      <w:textAlignment w:val="baseline"/>
      <w:outlineLvl w:val="3"/>
    </w:pPr>
    <w:rPr>
      <w:rFonts w:ascii="Arial" w:hAnsi="Arial" w:eastAsia="黑体"/>
      <w:b/>
      <w:kern w:val="0"/>
      <w:sz w:val="28"/>
      <w:szCs w:val="20"/>
    </w:rPr>
  </w:style>
  <w:style w:type="paragraph" w:styleId="8">
    <w:name w:val="heading 5"/>
    <w:basedOn w:val="1"/>
    <w:next w:val="1"/>
    <w:qFormat/>
    <w:uiPriority w:val="0"/>
    <w:pPr>
      <w:keepNext/>
      <w:keepLines/>
      <w:widowControl/>
      <w:numPr>
        <w:ilvl w:val="4"/>
        <w:numId w:val="1"/>
      </w:numPr>
      <w:adjustRightInd w:val="0"/>
      <w:spacing w:before="280" w:after="290" w:line="376" w:lineRule="atLeast"/>
      <w:textAlignment w:val="baseline"/>
      <w:outlineLvl w:val="4"/>
    </w:pPr>
    <w:rPr>
      <w:b/>
      <w:kern w:val="0"/>
      <w:sz w:val="28"/>
      <w:szCs w:val="20"/>
    </w:rPr>
  </w:style>
  <w:style w:type="paragraph" w:styleId="9">
    <w:name w:val="heading 6"/>
    <w:basedOn w:val="1"/>
    <w:next w:val="1"/>
    <w:qFormat/>
    <w:uiPriority w:val="0"/>
    <w:pPr>
      <w:keepNext/>
      <w:keepLines/>
      <w:widowControl/>
      <w:numPr>
        <w:ilvl w:val="5"/>
        <w:numId w:val="1"/>
      </w:numPr>
      <w:adjustRightInd w:val="0"/>
      <w:spacing w:before="240" w:after="64" w:line="320" w:lineRule="atLeast"/>
      <w:textAlignment w:val="baseline"/>
      <w:outlineLvl w:val="5"/>
    </w:pPr>
    <w:rPr>
      <w:rFonts w:ascii="Arial" w:hAnsi="Arial" w:eastAsia="黑体"/>
      <w:b/>
      <w:kern w:val="0"/>
      <w:sz w:val="24"/>
      <w:szCs w:val="20"/>
    </w:rPr>
  </w:style>
  <w:style w:type="paragraph" w:styleId="10">
    <w:name w:val="heading 7"/>
    <w:basedOn w:val="1"/>
    <w:next w:val="1"/>
    <w:qFormat/>
    <w:uiPriority w:val="0"/>
    <w:pPr>
      <w:keepNext/>
      <w:keepLines/>
      <w:widowControl/>
      <w:numPr>
        <w:ilvl w:val="6"/>
        <w:numId w:val="1"/>
      </w:numPr>
      <w:adjustRightInd w:val="0"/>
      <w:spacing w:before="240" w:after="64" w:line="320" w:lineRule="atLeast"/>
      <w:textAlignment w:val="baseline"/>
      <w:outlineLvl w:val="6"/>
    </w:pPr>
    <w:rPr>
      <w:b/>
      <w:kern w:val="0"/>
      <w:sz w:val="24"/>
      <w:szCs w:val="20"/>
    </w:rPr>
  </w:style>
  <w:style w:type="paragraph" w:styleId="11">
    <w:name w:val="heading 8"/>
    <w:basedOn w:val="1"/>
    <w:next w:val="1"/>
    <w:qFormat/>
    <w:uiPriority w:val="0"/>
    <w:pPr>
      <w:keepNext/>
      <w:keepLines/>
      <w:widowControl/>
      <w:numPr>
        <w:ilvl w:val="7"/>
        <w:numId w:val="1"/>
      </w:numPr>
      <w:adjustRightInd w:val="0"/>
      <w:spacing w:before="240" w:after="64" w:line="320" w:lineRule="atLeast"/>
      <w:textAlignment w:val="baseline"/>
      <w:outlineLvl w:val="7"/>
    </w:pPr>
    <w:rPr>
      <w:rFonts w:ascii="Arial" w:hAnsi="Arial" w:eastAsia="黑体"/>
      <w:kern w:val="0"/>
      <w:sz w:val="24"/>
      <w:szCs w:val="20"/>
    </w:rPr>
  </w:style>
  <w:style w:type="paragraph" w:styleId="12">
    <w:name w:val="heading 9"/>
    <w:basedOn w:val="1"/>
    <w:next w:val="1"/>
    <w:qFormat/>
    <w:uiPriority w:val="0"/>
    <w:pPr>
      <w:keepNext/>
      <w:keepLines/>
      <w:widowControl/>
      <w:numPr>
        <w:ilvl w:val="8"/>
        <w:numId w:val="1"/>
      </w:numPr>
      <w:adjustRightInd w:val="0"/>
      <w:spacing w:before="240" w:after="64" w:line="320" w:lineRule="atLeast"/>
      <w:textAlignment w:val="baseline"/>
      <w:outlineLvl w:val="8"/>
    </w:pPr>
    <w:rPr>
      <w:rFonts w:ascii="Arial" w:hAnsi="Arial" w:eastAsia="黑体"/>
      <w:kern w:val="0"/>
      <w:sz w:val="21"/>
      <w:szCs w:val="20"/>
    </w:rPr>
  </w:style>
  <w:style w:type="character" w:default="1" w:styleId="26">
    <w:name w:val="Default Paragraph Font"/>
    <w:semiHidden/>
    <w:qFormat/>
    <w:uiPriority w:val="0"/>
  </w:style>
  <w:style w:type="table" w:default="1" w:styleId="2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toc 4"/>
    <w:basedOn w:val="1"/>
    <w:next w:val="1"/>
    <w:qFormat/>
    <w:uiPriority w:val="0"/>
    <w:pPr>
      <w:widowControl w:val="0"/>
      <w:wordWrap w:val="0"/>
      <w:spacing w:line="560" w:lineRule="exact"/>
      <w:ind w:left="850" w:firstLine="200" w:firstLineChars="200"/>
      <w:jc w:val="both"/>
    </w:pPr>
    <w:rPr>
      <w:rFonts w:hint="eastAsia" w:ascii="Calibri" w:hAnsi="Calibri" w:eastAsia="仿宋_GB2312" w:cs="Times New Roman"/>
      <w:kern w:val="2"/>
      <w:sz w:val="21"/>
      <w:szCs w:val="22"/>
      <w:lang w:val="en-US" w:eastAsia="zh-CN" w:bidi="ar-SA"/>
    </w:rPr>
  </w:style>
  <w:style w:type="paragraph" w:styleId="13">
    <w:name w:val="Body Text"/>
    <w:basedOn w:val="1"/>
    <w:qFormat/>
    <w:uiPriority w:val="0"/>
    <w:pPr>
      <w:jc w:val="center"/>
    </w:pPr>
    <w:rPr>
      <w:b/>
      <w:bCs/>
    </w:rPr>
  </w:style>
  <w:style w:type="paragraph" w:styleId="14">
    <w:name w:val="Body Text Indent"/>
    <w:basedOn w:val="1"/>
    <w:qFormat/>
    <w:uiPriority w:val="0"/>
    <w:pPr>
      <w:topLinePunct/>
      <w:autoSpaceDE w:val="0"/>
      <w:autoSpaceDN w:val="0"/>
      <w:spacing w:line="540" w:lineRule="atLeast"/>
      <w:ind w:firstLine="600"/>
    </w:pPr>
    <w:rPr>
      <w:rFonts w:ascii="华康简标题宋"/>
      <w:sz w:val="30"/>
    </w:rPr>
  </w:style>
  <w:style w:type="paragraph" w:styleId="15">
    <w:name w:val="Plain Text"/>
    <w:basedOn w:val="1"/>
    <w:qFormat/>
    <w:uiPriority w:val="0"/>
    <w:rPr>
      <w:rFonts w:ascii="宋体" w:hAnsi="Times New Roman" w:eastAsia="宋体" w:cs="Times New Roman"/>
      <w:sz w:val="30"/>
      <w:szCs w:val="21"/>
      <w:lang w:bidi="ar-SA"/>
    </w:rPr>
  </w:style>
  <w:style w:type="paragraph" w:styleId="16">
    <w:name w:val="Date"/>
    <w:basedOn w:val="1"/>
    <w:next w:val="1"/>
    <w:qFormat/>
    <w:uiPriority w:val="0"/>
    <w:pPr>
      <w:ind w:left="100" w:leftChars="2500"/>
    </w:pPr>
  </w:style>
  <w:style w:type="paragraph" w:styleId="17">
    <w:name w:val="Body Text Indent 2"/>
    <w:basedOn w:val="1"/>
    <w:qFormat/>
    <w:uiPriority w:val="0"/>
    <w:pPr>
      <w:ind w:firstLine="620" w:firstLineChars="200"/>
    </w:pPr>
    <w:rPr>
      <w:sz w:val="31"/>
    </w:rPr>
  </w:style>
  <w:style w:type="paragraph" w:styleId="18">
    <w:name w:val="Balloon Text"/>
    <w:basedOn w:val="1"/>
    <w:semiHidden/>
    <w:qFormat/>
    <w:uiPriority w:val="0"/>
    <w:rPr>
      <w:sz w:val="18"/>
      <w:szCs w:val="18"/>
    </w:rPr>
  </w:style>
  <w:style w:type="paragraph" w:styleId="19">
    <w:name w:val="footer"/>
    <w:basedOn w:val="1"/>
    <w:qFormat/>
    <w:uiPriority w:val="0"/>
    <w:pPr>
      <w:tabs>
        <w:tab w:val="center" w:leader="hyphen" w:pos="4153"/>
        <w:tab w:val="right" w:pos="8306"/>
      </w:tabs>
      <w:snapToGrid w:val="0"/>
      <w:jc w:val="right"/>
    </w:pPr>
    <w:rPr>
      <w:sz w:val="28"/>
      <w:szCs w:val="18"/>
    </w:rPr>
  </w:style>
  <w:style w:type="paragraph" w:styleId="20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Body Text 2"/>
    <w:basedOn w:val="1"/>
    <w:qFormat/>
    <w:uiPriority w:val="0"/>
    <w:pPr>
      <w:widowControl/>
      <w:jc w:val="center"/>
    </w:pPr>
    <w:rPr>
      <w:rFonts w:eastAsia="华康简标题宋"/>
      <w:color w:val="FF0000"/>
      <w:sz w:val="42"/>
      <w:szCs w:val="23"/>
    </w:rPr>
  </w:style>
  <w:style w:type="paragraph" w:styleId="22">
    <w:name w:val="Normal (Web)"/>
    <w:basedOn w:val="1"/>
    <w:next w:val="19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/>
      <w:kern w:val="0"/>
      <w:sz w:val="24"/>
    </w:rPr>
  </w:style>
  <w:style w:type="paragraph" w:styleId="23">
    <w:name w:val="Title"/>
    <w:basedOn w:val="1"/>
    <w:qFormat/>
    <w:uiPriority w:val="0"/>
    <w:pPr>
      <w:spacing w:before="240" w:after="60"/>
      <w:jc w:val="center"/>
      <w:outlineLvl w:val="0"/>
    </w:pPr>
    <w:rPr>
      <w:rFonts w:eastAsia="华康简标题宋" w:cs="Arial"/>
      <w:bCs/>
      <w:sz w:val="44"/>
      <w:szCs w:val="32"/>
    </w:rPr>
  </w:style>
  <w:style w:type="paragraph" w:styleId="24">
    <w:name w:val="Body Text First Indent"/>
    <w:basedOn w:val="13"/>
    <w:qFormat/>
    <w:uiPriority w:val="99"/>
    <w:pPr>
      <w:ind w:firstLine="100" w:firstLineChars="100"/>
      <w:jc w:val="left"/>
    </w:pPr>
    <w:rPr>
      <w:rFonts w:ascii="Times New Roman" w:hAnsi="Times New Roman"/>
    </w:rPr>
  </w:style>
  <w:style w:type="character" w:styleId="27">
    <w:name w:val="page number"/>
    <w:basedOn w:val="26"/>
    <w:qFormat/>
    <w:uiPriority w:val="0"/>
    <w:rPr>
      <w:rFonts w:ascii="Times New Roman" w:hAnsi="Times New Roman" w:eastAsia="仿宋_GB2312"/>
      <w:sz w:val="28"/>
      <w:lang w:eastAsia="zh-CN"/>
    </w:rPr>
  </w:style>
  <w:style w:type="character" w:styleId="28">
    <w:name w:val="FollowedHyperlink"/>
    <w:basedOn w:val="26"/>
    <w:qFormat/>
    <w:uiPriority w:val="0"/>
    <w:rPr>
      <w:color w:val="333333"/>
      <w:u w:val="none"/>
    </w:rPr>
  </w:style>
  <w:style w:type="character" w:styleId="29">
    <w:name w:val="Emphasis"/>
    <w:basedOn w:val="26"/>
    <w:qFormat/>
    <w:uiPriority w:val="0"/>
  </w:style>
  <w:style w:type="character" w:styleId="30">
    <w:name w:val="HTML Definition"/>
    <w:basedOn w:val="26"/>
    <w:qFormat/>
    <w:uiPriority w:val="0"/>
  </w:style>
  <w:style w:type="character" w:styleId="31">
    <w:name w:val="HTML Variable"/>
    <w:basedOn w:val="26"/>
    <w:qFormat/>
    <w:uiPriority w:val="0"/>
  </w:style>
  <w:style w:type="character" w:styleId="32">
    <w:name w:val="Hyperlink"/>
    <w:basedOn w:val="26"/>
    <w:qFormat/>
    <w:uiPriority w:val="0"/>
    <w:rPr>
      <w:color w:val="333333"/>
      <w:u w:val="none"/>
    </w:rPr>
  </w:style>
  <w:style w:type="character" w:styleId="33">
    <w:name w:val="HTML Code"/>
    <w:basedOn w:val="26"/>
    <w:qFormat/>
    <w:uiPriority w:val="0"/>
    <w:rPr>
      <w:rFonts w:ascii="Courier New" w:hAnsi="Courier New"/>
      <w:sz w:val="20"/>
    </w:rPr>
  </w:style>
  <w:style w:type="character" w:styleId="34">
    <w:name w:val="HTML Cite"/>
    <w:basedOn w:val="26"/>
    <w:qFormat/>
    <w:uiPriority w:val="0"/>
  </w:style>
  <w:style w:type="paragraph" w:customStyle="1" w:styleId="35">
    <w:name w:val="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36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7">
    <w:name w:val="first-child"/>
    <w:basedOn w:val="26"/>
    <w:qFormat/>
    <w:uiPriority w:val="0"/>
  </w:style>
  <w:style w:type="character" w:customStyle="1" w:styleId="38">
    <w:name w:val="badge"/>
    <w:basedOn w:val="26"/>
    <w:qFormat/>
    <w:uiPriority w:val="0"/>
    <w:rPr>
      <w:b/>
      <w:bCs/>
      <w:color w:val="FFFFFF"/>
      <w:sz w:val="18"/>
      <w:szCs w:val="18"/>
      <w:shd w:val="clear" w:color="auto" w:fill="EE3333"/>
    </w:rPr>
  </w:style>
  <w:style w:type="character" w:customStyle="1" w:styleId="39">
    <w:name w:val="layui-laypage-curr"/>
    <w:basedOn w:val="26"/>
    <w:qFormat/>
    <w:uiPriority w:val="0"/>
  </w:style>
  <w:style w:type="paragraph" w:customStyle="1" w:styleId="40">
    <w:name w:val="info-item__content"/>
    <w:basedOn w:val="1"/>
    <w:qFormat/>
    <w:uiPriority w:val="0"/>
    <w:pPr>
      <w:pBdr>
        <w:left w:val="none" w:color="auto" w:sz="0" w:space="0"/>
      </w:pBdr>
      <w:ind w:left="1800"/>
      <w:jc w:val="left"/>
    </w:pPr>
    <w:rPr>
      <w:kern w:val="0"/>
      <w:lang w:val="en-US" w:eastAsia="zh-CN" w:bidi="ar"/>
    </w:rPr>
  </w:style>
  <w:style w:type="character" w:customStyle="1" w:styleId="41">
    <w:name w:val="hover18"/>
    <w:basedOn w:val="26"/>
    <w:qFormat/>
    <w:uiPriority w:val="0"/>
    <w:rPr>
      <w:color w:val="5FB878"/>
    </w:rPr>
  </w:style>
  <w:style w:type="character" w:customStyle="1" w:styleId="42">
    <w:name w:val="hover19"/>
    <w:basedOn w:val="26"/>
    <w:qFormat/>
    <w:uiPriority w:val="0"/>
    <w:rPr>
      <w:color w:val="5FB878"/>
    </w:rPr>
  </w:style>
  <w:style w:type="character" w:customStyle="1" w:styleId="43">
    <w:name w:val="hover20"/>
    <w:basedOn w:val="26"/>
    <w:qFormat/>
    <w:uiPriority w:val="0"/>
    <w:rPr>
      <w:color w:val="FFFFFF"/>
    </w:rPr>
  </w:style>
  <w:style w:type="character" w:customStyle="1" w:styleId="44">
    <w:name w:val="layui-this4"/>
    <w:basedOn w:val="26"/>
    <w:qFormat/>
    <w:uiPriority w:val="0"/>
    <w:rPr>
      <w:bdr w:val="single" w:color="EEEEEE" w:sz="6" w:space="0"/>
      <w:shd w:val="clear" w:color="auto" w:fill="FFFFFF"/>
    </w:rPr>
  </w:style>
  <w:style w:type="paragraph" w:customStyle="1" w:styleId="45">
    <w:name w:val="_Style 44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46">
    <w:name w:val="_Style 45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47">
    <w:name w:val="hover17"/>
    <w:basedOn w:val="26"/>
    <w:qFormat/>
    <w:uiPriority w:val="0"/>
    <w:rPr>
      <w:color w:val="5FB878"/>
    </w:rPr>
  </w:style>
  <w:style w:type="character" w:customStyle="1" w:styleId="48">
    <w:name w:val="layui-this"/>
    <w:basedOn w:val="26"/>
    <w:qFormat/>
    <w:uiPriority w:val="0"/>
    <w:rPr>
      <w:bdr w:val="single" w:color="EEEEEE" w:sz="6" w:space="0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os/E:\001&#24066;&#25919;&#24220;&#20844;&#25991;&#26684;&#24335;&#27169;&#26495;\&#19996;&#24220;&#20989;&#27169;&#26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东府函模板</Template>
  <Company>dgcc</Company>
  <Pages>1</Pages>
  <Words>43</Words>
  <Characters>248</Characters>
  <Lines>2</Lines>
  <Paragraphs>1</Paragraphs>
  <TotalTime>8</TotalTime>
  <ScaleCrop>false</ScaleCrop>
  <LinksUpToDate>false</LinksUpToDate>
  <CharactersWithSpaces>290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2016-07-14T19:04:00Z</dcterms:created>
  <dc:creator>yangl</dc:creator>
  <cp:lastModifiedBy>陈佳</cp:lastModifiedBy>
  <cp:lastPrinted>2026-06-18T19:10:00Z</cp:lastPrinted>
  <dcterms:modified xsi:type="dcterms:W3CDTF">2026-06-18T15:42:51Z</dcterms:modified>
  <dc:title>东莞市人民政府办公室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ECB1DBBB02B54478B641343ABA685EE7_13</vt:lpwstr>
  </property>
</Properties>
</file>