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15"/>
        <w:tblW w:w="0" w:type="auto"/>
        <w:jc w:val="center"/>
        <w:tblBorders>
          <w:top w:val="none" w:color="auto" w:sz="0" w:space="0"/>
          <w:left w:val="none" w:color="auto" w:sz="0" w:space="0"/>
          <w:bottom w:val="thinThickMediumGap" w:color="FF0000" w:sz="18"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061"/>
      </w:tblGrid>
      <w:tr w14:paraId="339119F8">
        <w:tblPrEx>
          <w:tblBorders>
            <w:top w:val="none" w:color="auto" w:sz="0" w:space="0"/>
            <w:left w:val="none" w:color="auto" w:sz="0" w:space="0"/>
            <w:bottom w:val="thinThickMediumGap" w:color="FF0000" w:sz="1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 w:hRule="atLeast"/>
          <w:jc w:val="center"/>
        </w:trPr>
        <w:tc>
          <w:tcPr>
            <w:tcW w:w="9624" w:type="dxa"/>
          </w:tcPr>
          <w:p w14:paraId="39A68B8E">
            <w:pPr>
              <w:pStyle w:val="5"/>
              <w:numPr>
                <w:ilvl w:val="0"/>
                <w:numId w:val="0"/>
              </w:numPr>
              <w:autoSpaceDE w:val="0"/>
              <w:autoSpaceDN w:val="0"/>
              <w:snapToGrid w:val="0"/>
              <w:rPr>
                <w:b/>
                <w:bCs/>
                <w:color w:val="FF0000"/>
                <w:spacing w:val="60"/>
                <w:w w:val="90"/>
                <w:kern w:val="72"/>
                <w:sz w:val="72"/>
                <w:szCs w:val="72"/>
              </w:rPr>
            </w:pPr>
            <w:bookmarkStart w:id="0" w:name="xxqqWholeArea"/>
            <w:r>
              <w:rPr>
                <w:rFonts w:eastAsia="方正小标宋简体"/>
                <w:b/>
                <w:color w:val="FF0000"/>
                <w:spacing w:val="60"/>
                <w:w w:val="90"/>
                <w:kern w:val="72"/>
                <w:sz w:val="72"/>
                <w:szCs w:val="72"/>
              </w:rPr>
              <w:t>东莞市住房和城乡建设局</w:t>
            </w:r>
          </w:p>
        </w:tc>
      </w:tr>
      <w:bookmarkEnd w:id="0"/>
    </w:tbl>
    <w:p w14:paraId="41C745CA">
      <w:pPr>
        <w:pStyle w:val="17"/>
        <w:adjustRightInd w:val="0"/>
        <w:snapToGrid w:val="0"/>
        <w:spacing w:line="500" w:lineRule="exact"/>
        <w:ind w:left="0" w:leftChars="0" w:firstLine="0" w:firstLineChars="0"/>
        <w:jc w:val="both"/>
        <w:rPr>
          <w:sz w:val="31"/>
          <w:szCs w:val="31"/>
        </w:rPr>
      </w:pPr>
    </w:p>
    <w:p w14:paraId="3D7CEA86">
      <w:pPr>
        <w:pStyle w:val="17"/>
        <w:keepNext w:val="0"/>
        <w:keepLines w:val="0"/>
        <w:pageBreakBefore w:val="0"/>
        <w:widowControl w:val="0"/>
        <w:kinsoku/>
        <w:wordWrap/>
        <w:overflowPunct/>
        <w:bidi w:val="0"/>
        <w:adjustRightInd w:val="0"/>
        <w:snapToGrid w:val="0"/>
        <w:spacing w:line="600" w:lineRule="exact"/>
        <w:ind w:firstLine="620"/>
        <w:jc w:val="right"/>
        <w:textAlignment w:val="auto"/>
        <w:rPr>
          <w:rFonts w:ascii="Times New Roman" w:hAnsi="Times New Roman" w:cs="Times New Roman"/>
          <w:sz w:val="31"/>
          <w:szCs w:val="31"/>
        </w:rPr>
      </w:pPr>
      <w:r>
        <w:rPr>
          <w:rFonts w:ascii="Times New Roman" w:hAnsi="Times New Roman" w:cs="Times New Roman"/>
          <w:sz w:val="31"/>
          <w:szCs w:val="31"/>
        </w:rPr>
        <w:t>东建函〔202</w:t>
      </w:r>
      <w:r>
        <w:rPr>
          <w:rFonts w:hint="eastAsia" w:ascii="Times New Roman" w:hAnsi="Times New Roman" w:cs="Times New Roman"/>
          <w:sz w:val="31"/>
          <w:szCs w:val="31"/>
          <w:lang w:val="en-US" w:eastAsia="zh-CN"/>
        </w:rPr>
        <w:t>6</w:t>
      </w:r>
      <w:r>
        <w:rPr>
          <w:rFonts w:ascii="Times New Roman" w:hAnsi="Times New Roman" w:cs="Times New Roman"/>
          <w:sz w:val="31"/>
          <w:szCs w:val="31"/>
        </w:rPr>
        <w:t>〕</w:t>
      </w:r>
      <w:r>
        <w:rPr>
          <w:rFonts w:hint="eastAsia" w:cs="Times New Roman"/>
          <w:sz w:val="31"/>
          <w:szCs w:val="31"/>
          <w:lang w:val="en-US" w:eastAsia="zh-CN"/>
        </w:rPr>
        <w:t>30</w:t>
      </w:r>
      <w:r>
        <w:rPr>
          <w:rFonts w:ascii="Times New Roman" w:hAnsi="Times New Roman" w:cs="Times New Roman"/>
          <w:sz w:val="31"/>
          <w:szCs w:val="31"/>
        </w:rPr>
        <w:t>号</w:t>
      </w:r>
    </w:p>
    <w:p w14:paraId="3BB6FA5C">
      <w:pPr>
        <w:keepNext w:val="0"/>
        <w:keepLines w:val="0"/>
        <w:pageBreakBefore w:val="0"/>
        <w:widowControl w:val="0"/>
        <w:kinsoku/>
        <w:wordWrap/>
        <w:overflowPunct/>
        <w:bidi w:val="0"/>
        <w:spacing w:line="600" w:lineRule="exact"/>
        <w:ind w:right="83" w:rightChars="26"/>
        <w:jc w:val="center"/>
        <w:textAlignment w:val="auto"/>
        <w:rPr>
          <w:rFonts w:ascii="Times New Roman" w:hAnsi="Times New Roman" w:cs="Times New Roman"/>
          <w:kern w:val="0"/>
          <w:szCs w:val="32"/>
        </w:rPr>
      </w:pPr>
      <w:r>
        <w:rPr>
          <w:rFonts w:hint="eastAsia" w:ascii="Times New Roman" w:hAnsi="Times New Roman" w:cs="Times New Roman"/>
          <w:kern w:val="0"/>
          <w:szCs w:val="32"/>
          <w:lang w:val="en-US" w:eastAsia="zh-CN"/>
        </w:rPr>
        <w:t xml:space="preserve">                                              </w:t>
      </w:r>
      <w:r>
        <w:rPr>
          <w:rFonts w:ascii="Times New Roman" w:hAnsi="Times New Roman" w:cs="Times New Roman"/>
          <w:kern w:val="0"/>
          <w:szCs w:val="32"/>
        </w:rPr>
        <w:t>（</w:t>
      </w:r>
      <w:r>
        <w:rPr>
          <w:rFonts w:hint="eastAsia" w:ascii="Times New Roman" w:hAnsi="Times New Roman" w:cs="Times New Roman"/>
          <w:kern w:val="0"/>
          <w:szCs w:val="32"/>
          <w:lang w:val="en-US" w:eastAsia="zh-CN"/>
        </w:rPr>
        <w:t>B</w:t>
      </w:r>
      <w:r>
        <w:rPr>
          <w:rFonts w:ascii="Times New Roman" w:hAnsi="Times New Roman" w:cs="Times New Roman"/>
          <w:kern w:val="0"/>
          <w:szCs w:val="32"/>
        </w:rPr>
        <w:t>类）</w:t>
      </w:r>
    </w:p>
    <w:p w14:paraId="379B5F1E">
      <w:pPr>
        <w:keepNext w:val="0"/>
        <w:keepLines w:val="0"/>
        <w:pageBreakBefore w:val="0"/>
        <w:widowControl w:val="0"/>
        <w:kinsoku/>
        <w:wordWrap/>
        <w:overflowPunct/>
        <w:topLinePunct/>
        <w:autoSpaceDE w:val="0"/>
        <w:autoSpaceDN w:val="0"/>
        <w:bidi w:val="0"/>
        <w:spacing w:line="600" w:lineRule="exact"/>
        <w:jc w:val="both"/>
        <w:textAlignment w:val="auto"/>
        <w:rPr>
          <w:rFonts w:hint="default" w:ascii="Times New Roman" w:hAnsi="Times New Roman" w:eastAsia="华康简标题宋" w:cs="Times New Roman"/>
          <w:sz w:val="36"/>
        </w:rPr>
      </w:pPr>
    </w:p>
    <w:p w14:paraId="1312D0C4">
      <w:pPr>
        <w:keepNext w:val="0"/>
        <w:keepLines w:val="0"/>
        <w:pageBreakBefore w:val="0"/>
        <w:widowControl w:val="0"/>
        <w:kinsoku/>
        <w:wordWrap/>
        <w:overflowPunct/>
        <w:bidi w:val="0"/>
        <w:spacing w:line="600" w:lineRule="exact"/>
        <w:ind w:right="18"/>
        <w:jc w:val="center"/>
        <w:textAlignment w:val="auto"/>
        <w:rPr>
          <w:rFonts w:hint="default" w:ascii="Times New Roman" w:hAnsi="Times New Roman" w:eastAsia="方正小标宋简体" w:cs="Times New Roman"/>
          <w:sz w:val="44"/>
          <w:szCs w:val="44"/>
          <w:lang w:eastAsia="zh-CN"/>
        </w:rPr>
      </w:pPr>
      <w:r>
        <w:rPr>
          <w:rFonts w:hint="eastAsia" w:ascii="Times New Roman" w:hAnsi="Times New Roman" w:eastAsia="方正小标宋简体" w:cs="Times New Roman"/>
          <w:sz w:val="44"/>
          <w:szCs w:val="44"/>
          <w:lang w:eastAsia="zh-CN"/>
        </w:rPr>
        <w:t>东莞市住房和城乡建设局</w:t>
      </w:r>
      <w:r>
        <w:rPr>
          <w:rFonts w:hint="default" w:ascii="Times New Roman" w:hAnsi="Times New Roman" w:eastAsia="方正小标宋简体" w:cs="Times New Roman"/>
          <w:sz w:val="44"/>
          <w:szCs w:val="44"/>
          <w:lang w:eastAsia="zh-CN"/>
        </w:rPr>
        <w:t>关于东莞市政协</w:t>
      </w:r>
    </w:p>
    <w:p w14:paraId="1AFB7572">
      <w:pPr>
        <w:keepNext w:val="0"/>
        <w:keepLines w:val="0"/>
        <w:pageBreakBefore w:val="0"/>
        <w:widowControl w:val="0"/>
        <w:kinsoku/>
        <w:wordWrap/>
        <w:overflowPunct/>
        <w:bidi w:val="0"/>
        <w:spacing w:line="600" w:lineRule="exact"/>
        <w:ind w:right="18"/>
        <w:jc w:val="center"/>
        <w:textAlignment w:val="auto"/>
        <w:rPr>
          <w:rFonts w:hint="default" w:ascii="Times New Roman" w:hAnsi="Times New Roman" w:eastAsia="方正小标宋简体" w:cs="Times New Roman"/>
          <w:sz w:val="44"/>
          <w:szCs w:val="44"/>
          <w:lang w:eastAsia="zh-CN"/>
        </w:rPr>
      </w:pPr>
      <w:r>
        <w:rPr>
          <w:rFonts w:hint="eastAsia" w:ascii="Times New Roman" w:hAnsi="Times New Roman" w:eastAsia="方正小标宋简体" w:cs="Times New Roman"/>
          <w:sz w:val="44"/>
          <w:szCs w:val="44"/>
          <w:lang w:eastAsia="zh-CN"/>
        </w:rPr>
        <w:t>十四</w:t>
      </w:r>
      <w:r>
        <w:rPr>
          <w:rFonts w:hint="default" w:ascii="Times New Roman" w:hAnsi="Times New Roman" w:eastAsia="方正小标宋简体" w:cs="Times New Roman"/>
          <w:sz w:val="44"/>
          <w:szCs w:val="44"/>
          <w:lang w:eastAsia="zh-CN"/>
        </w:rPr>
        <w:t>届</w:t>
      </w:r>
      <w:r>
        <w:rPr>
          <w:rFonts w:hint="eastAsia" w:ascii="Times New Roman" w:hAnsi="Times New Roman" w:eastAsia="方正小标宋简体" w:cs="Times New Roman"/>
          <w:sz w:val="44"/>
          <w:szCs w:val="44"/>
          <w:lang w:eastAsia="zh-CN"/>
        </w:rPr>
        <w:t>五</w:t>
      </w:r>
      <w:r>
        <w:rPr>
          <w:rFonts w:hint="default" w:ascii="Times New Roman" w:hAnsi="Times New Roman" w:eastAsia="方正小标宋简体" w:cs="Times New Roman"/>
          <w:sz w:val="44"/>
          <w:szCs w:val="44"/>
          <w:lang w:eastAsia="zh-CN"/>
        </w:rPr>
        <w:t>次会议第</w:t>
      </w:r>
      <w:r>
        <w:rPr>
          <w:rFonts w:hint="eastAsia" w:ascii="Times New Roman" w:hAnsi="Times New Roman" w:eastAsia="方正小标宋简体" w:cs="Times New Roman"/>
          <w:sz w:val="44"/>
          <w:szCs w:val="44"/>
          <w:lang w:val="en-US" w:eastAsia="zh-CN"/>
        </w:rPr>
        <w:t>20260269</w:t>
      </w:r>
      <w:r>
        <w:rPr>
          <w:rFonts w:hint="default" w:ascii="Times New Roman" w:hAnsi="Times New Roman" w:eastAsia="方正小标宋简体" w:cs="Times New Roman"/>
          <w:sz w:val="44"/>
          <w:szCs w:val="44"/>
          <w:lang w:eastAsia="zh-CN"/>
        </w:rPr>
        <w:t>号</w:t>
      </w:r>
    </w:p>
    <w:p w14:paraId="3E6AD526">
      <w:pPr>
        <w:keepNext w:val="0"/>
        <w:keepLines w:val="0"/>
        <w:pageBreakBefore w:val="0"/>
        <w:widowControl w:val="0"/>
        <w:kinsoku/>
        <w:wordWrap/>
        <w:overflowPunct/>
        <w:bidi w:val="0"/>
        <w:spacing w:line="600" w:lineRule="exact"/>
        <w:ind w:right="18"/>
        <w:jc w:val="center"/>
        <w:textAlignment w:val="auto"/>
        <w:rPr>
          <w:rFonts w:hint="default" w:ascii="Times New Roman" w:hAnsi="Times New Roman" w:eastAsia="方正小标宋简体" w:cs="Times New Roman"/>
          <w:sz w:val="44"/>
          <w:szCs w:val="44"/>
          <w:lang w:eastAsia="zh-CN"/>
        </w:rPr>
      </w:pPr>
      <w:r>
        <w:rPr>
          <w:rFonts w:hint="default" w:ascii="Times New Roman" w:hAnsi="Times New Roman" w:eastAsia="方正小标宋简体" w:cs="Times New Roman"/>
          <w:sz w:val="44"/>
          <w:szCs w:val="44"/>
          <w:lang w:eastAsia="zh-CN"/>
        </w:rPr>
        <w:t>提案答复的函</w:t>
      </w:r>
    </w:p>
    <w:p w14:paraId="77A1091A">
      <w:pPr>
        <w:keepNext w:val="0"/>
        <w:keepLines w:val="0"/>
        <w:pageBreakBefore w:val="0"/>
        <w:widowControl w:val="0"/>
        <w:kinsoku/>
        <w:wordWrap/>
        <w:overflowPunct/>
        <w:topLinePunct w:val="0"/>
        <w:autoSpaceDE/>
        <w:autoSpaceDN/>
        <w:bidi w:val="0"/>
        <w:adjustRightInd/>
        <w:snapToGrid/>
        <w:spacing w:line="560" w:lineRule="exact"/>
        <w:ind w:right="-62"/>
        <w:jc w:val="center"/>
        <w:textAlignment w:val="auto"/>
        <w:rPr>
          <w:rFonts w:hint="default" w:ascii="Times New Roman" w:hAnsi="Times New Roman" w:cs="Times New Roman"/>
          <w:szCs w:val="32"/>
        </w:rPr>
      </w:pPr>
    </w:p>
    <w:p w14:paraId="62FA8F37">
      <w:pPr>
        <w:keepNext w:val="0"/>
        <w:keepLines w:val="0"/>
        <w:pageBreakBefore w:val="0"/>
        <w:widowControl w:val="0"/>
        <w:kinsoku/>
        <w:wordWrap/>
        <w:overflowPunct/>
        <w:topLinePunct w:val="0"/>
        <w:autoSpaceDE/>
        <w:autoSpaceDN/>
        <w:bidi w:val="0"/>
        <w:spacing w:line="560" w:lineRule="exact"/>
        <w:textAlignment w:val="auto"/>
        <w:rPr>
          <w:rFonts w:ascii="Times New Roman" w:hAnsi="Times New Roman" w:eastAsia="仿宋_GB2312"/>
          <w:sz w:val="32"/>
          <w:szCs w:val="32"/>
        </w:rPr>
      </w:pPr>
      <w:r>
        <w:rPr>
          <w:rFonts w:hint="eastAsia" w:ascii="Times New Roman" w:hAnsi="Times New Roman"/>
          <w:sz w:val="32"/>
          <w:szCs w:val="32"/>
          <w:lang w:eastAsia="zh-CN"/>
        </w:rPr>
        <w:t>东莞市科学技术协会</w:t>
      </w:r>
      <w:r>
        <w:rPr>
          <w:rFonts w:ascii="Times New Roman" w:hAnsi="Times New Roman" w:eastAsia="仿宋_GB2312"/>
          <w:sz w:val="32"/>
          <w:szCs w:val="32"/>
        </w:rPr>
        <w:t>：</w:t>
      </w:r>
    </w:p>
    <w:p w14:paraId="151DA222">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Times New Roman" w:hAnsi="Times New Roman"/>
          <w:sz w:val="32"/>
          <w:szCs w:val="32"/>
          <w:lang w:eastAsia="zh-CN"/>
        </w:rPr>
      </w:pPr>
      <w:r>
        <w:rPr>
          <w:rFonts w:hint="eastAsia" w:ascii="Times New Roman" w:hAnsi="Times New Roman"/>
          <w:sz w:val="32"/>
          <w:szCs w:val="32"/>
          <w:lang w:eastAsia="zh-CN"/>
        </w:rPr>
        <w:t>贵协会</w:t>
      </w:r>
      <w:r>
        <w:rPr>
          <w:rFonts w:ascii="Times New Roman" w:hAnsi="Times New Roman" w:eastAsia="仿宋_GB2312"/>
          <w:sz w:val="32"/>
          <w:szCs w:val="32"/>
        </w:rPr>
        <w:t>提出的</w:t>
      </w:r>
      <w:r>
        <w:rPr>
          <w:rFonts w:hint="eastAsia" w:ascii="Times New Roman" w:hAnsi="Times New Roman" w:eastAsia="仿宋_GB2312"/>
          <w:sz w:val="32"/>
          <w:szCs w:val="32"/>
        </w:rPr>
        <w:t>《加快构建全方位建筑安全管理体系，为城市更新保驾护航》（第</w:t>
      </w:r>
      <w:r>
        <w:rPr>
          <w:rFonts w:hint="eastAsia" w:ascii="Times New Roman" w:hAnsi="Times New Roman"/>
          <w:sz w:val="32"/>
          <w:szCs w:val="32"/>
          <w:lang w:val="en-US" w:eastAsia="zh-CN"/>
        </w:rPr>
        <w:t>20260269</w:t>
      </w:r>
      <w:r>
        <w:rPr>
          <w:rFonts w:hint="eastAsia" w:ascii="Times New Roman" w:hAnsi="Times New Roman" w:eastAsia="仿宋_GB2312"/>
          <w:sz w:val="32"/>
          <w:szCs w:val="32"/>
        </w:rPr>
        <w:t>号）提案</w:t>
      </w:r>
      <w:r>
        <w:rPr>
          <w:rFonts w:ascii="Times New Roman" w:hAnsi="Times New Roman" w:eastAsia="仿宋_GB2312"/>
          <w:sz w:val="32"/>
          <w:szCs w:val="32"/>
        </w:rPr>
        <w:t>收悉</w:t>
      </w:r>
      <w:r>
        <w:rPr>
          <w:rFonts w:hint="eastAsia" w:ascii="Times New Roman" w:hAnsi="Times New Roman"/>
          <w:sz w:val="32"/>
          <w:szCs w:val="32"/>
          <w:lang w:eastAsia="zh-CN"/>
        </w:rPr>
        <w:t>。衷心感谢您对我市城市更新、老旧小区改造、产业园转型升级及低空经济发展中房屋建筑安全管理工作的高度关注与大力支持。您的提案精准剖析了当前我市既有建筑改造领域房屋安全鉴定管理的短板弱项，紧扣我市发展新形势、新需求，问题分析透彻、建议科学务实、针对性极强，对我市筑牢既有建筑安全防线、规范房屋安全鉴定行业秩序、保障城市高质量发展具有重要的指导意义。我局对此高度重视，立即组织专题研究，结合国家、省相关法律法规及周边地市先进经验，现就提案有关建议答复如下：</w:t>
      </w:r>
    </w:p>
    <w:p w14:paraId="6AD8A5DA">
      <w:pPr>
        <w:keepNext w:val="0"/>
        <w:keepLines w:val="0"/>
        <w:pageBreakBefore w:val="0"/>
        <w:widowControl w:val="0"/>
        <w:numPr>
          <w:ilvl w:val="0"/>
          <w:numId w:val="2"/>
        </w:numPr>
        <w:kinsoku/>
        <w:wordWrap/>
        <w:overflowPunct/>
        <w:topLinePunct w:val="0"/>
        <w:autoSpaceDE/>
        <w:autoSpaceDN/>
        <w:bidi w:val="0"/>
        <w:spacing w:line="560" w:lineRule="exact"/>
        <w:ind w:firstLine="640" w:firstLineChars="200"/>
        <w:textAlignment w:val="auto"/>
        <w:rPr>
          <w:rFonts w:hint="eastAsia" w:ascii="黑体" w:hAnsi="黑体" w:eastAsia="黑体" w:cs="黑体"/>
          <w:sz w:val="32"/>
          <w:szCs w:val="32"/>
          <w:lang w:eastAsia="zh-CN"/>
        </w:rPr>
      </w:pPr>
      <w:r>
        <w:rPr>
          <w:rFonts w:hint="eastAsia" w:ascii="黑体" w:hAnsi="黑体" w:eastAsia="黑体" w:cs="黑体"/>
          <w:sz w:val="32"/>
          <w:szCs w:val="32"/>
          <w:lang w:eastAsia="zh-CN"/>
        </w:rPr>
        <w:t>健全完善鉴定管理政策体系</w:t>
      </w:r>
    </w:p>
    <w:p w14:paraId="006174A0">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Times New Roman" w:hAnsi="Times New Roman" w:eastAsia="仿宋_GB2312" w:cs="Times New Roman"/>
          <w:sz w:val="32"/>
          <w:szCs w:val="32"/>
          <w:lang w:val="en-US" w:eastAsia="zh-CN"/>
        </w:rPr>
      </w:pPr>
      <w:r>
        <w:rPr>
          <w:rFonts w:hint="eastAsia" w:ascii="Times New Roman" w:hAnsi="Times New Roman"/>
          <w:sz w:val="32"/>
          <w:szCs w:val="32"/>
          <w:lang w:val="en-US" w:eastAsia="zh-CN"/>
        </w:rPr>
        <w:t>针对您提出的尽快出台对“从事房屋安全鉴定机构的资质和人员资格要求”的建议，我局已于2026年4月28日印发《东莞市住房和城乡建设局关于加强全市房屋安全鉴定机构管理的通知》，该通知回应了您及社会的关切，重点解决了以下问题：</w:t>
      </w:r>
      <w:r>
        <w:rPr>
          <w:rFonts w:hint="eastAsia" w:ascii="Times New Roman" w:hAnsi="Times New Roman" w:cs="Times New Roman"/>
          <w:b/>
          <w:bCs/>
          <w:sz w:val="32"/>
          <w:szCs w:val="32"/>
          <w:lang w:val="en-US" w:eastAsia="zh-CN"/>
        </w:rPr>
        <w:t>一是</w:t>
      </w:r>
      <w:r>
        <w:rPr>
          <w:rFonts w:hint="eastAsia" w:ascii="Times New Roman" w:hAnsi="Times New Roman" w:cs="Times New Roman"/>
          <w:sz w:val="32"/>
          <w:szCs w:val="32"/>
          <w:lang w:val="en-US" w:eastAsia="zh-CN"/>
        </w:rPr>
        <w:t>明确机构从业要求。</w:t>
      </w:r>
      <w:r>
        <w:rPr>
          <w:rFonts w:hint="default"/>
          <w:sz w:val="32"/>
          <w:szCs w:val="32"/>
          <w:lang w:val="en-US" w:eastAsia="zh-CN"/>
        </w:rPr>
        <w:t>符合条件的设计、勘察和工程质量检测机构</w:t>
      </w:r>
      <w:r>
        <w:rPr>
          <w:rFonts w:hint="eastAsia"/>
          <w:sz w:val="32"/>
          <w:szCs w:val="32"/>
          <w:lang w:val="en-US" w:eastAsia="zh-CN"/>
        </w:rPr>
        <w:t>可</w:t>
      </w:r>
      <w:r>
        <w:rPr>
          <w:rFonts w:hint="default"/>
          <w:sz w:val="32"/>
          <w:szCs w:val="32"/>
          <w:lang w:eastAsia="zh-CN"/>
        </w:rPr>
        <w:t>办理</w:t>
      </w:r>
      <w:r>
        <w:rPr>
          <w:rFonts w:hint="eastAsia"/>
          <w:sz w:val="32"/>
          <w:szCs w:val="32"/>
          <w:lang w:val="en-US" w:eastAsia="zh-CN"/>
        </w:rPr>
        <w:t>在莞</w:t>
      </w:r>
      <w:r>
        <w:rPr>
          <w:rFonts w:hint="default"/>
          <w:sz w:val="32"/>
          <w:szCs w:val="32"/>
          <w:lang w:eastAsia="zh-CN"/>
        </w:rPr>
        <w:t>登记备案，信用信息纳入管理</w:t>
      </w:r>
      <w:r>
        <w:rPr>
          <w:rFonts w:hint="default"/>
          <w:sz w:val="32"/>
          <w:szCs w:val="32"/>
          <w:lang w:val="en-US" w:eastAsia="zh-CN"/>
        </w:rPr>
        <w:t>。市</w:t>
      </w:r>
      <w:r>
        <w:rPr>
          <w:sz w:val="32"/>
          <w:szCs w:val="32"/>
        </w:rPr>
        <w:t>住房城乡建设局不定期组织对鉴定机构进行核查，主要核查场所、仪器、人员、</w:t>
      </w:r>
      <w:r>
        <w:rPr>
          <w:sz w:val="32"/>
          <w:szCs w:val="32"/>
          <w:highlight w:val="none"/>
        </w:rPr>
        <w:t>资质</w:t>
      </w:r>
      <w:r>
        <w:rPr>
          <w:sz w:val="32"/>
          <w:szCs w:val="32"/>
        </w:rPr>
        <w:t>等信息</w:t>
      </w:r>
      <w:r>
        <w:rPr>
          <w:rFonts w:hint="default"/>
          <w:sz w:val="32"/>
          <w:szCs w:val="32"/>
          <w:lang w:eastAsia="zh-CN"/>
        </w:rPr>
        <w:t>，</w:t>
      </w:r>
      <w:r>
        <w:rPr>
          <w:rFonts w:hint="default"/>
          <w:sz w:val="32"/>
          <w:szCs w:val="32"/>
        </w:rPr>
        <w:t>督促鉴定机构配备开展业务所需的专业人员和设备</w:t>
      </w:r>
      <w:r>
        <w:rPr>
          <w:sz w:val="32"/>
          <w:szCs w:val="32"/>
        </w:rPr>
        <w:t>。</w:t>
      </w:r>
      <w:r>
        <w:rPr>
          <w:rFonts w:hint="eastAsia"/>
          <w:b/>
          <w:bCs/>
          <w:sz w:val="32"/>
          <w:szCs w:val="32"/>
          <w:lang w:eastAsia="zh-CN"/>
        </w:rPr>
        <w:t>二是</w:t>
      </w:r>
      <w:r>
        <w:rPr>
          <w:rFonts w:hint="eastAsia"/>
          <w:sz w:val="32"/>
          <w:szCs w:val="32"/>
          <w:lang w:eastAsia="zh-CN"/>
        </w:rPr>
        <w:t>严格人员资格准入。要求现场鉴定人员至少包含一名一级注册结构工程师（或符合条件的高级工程师）及一名中级以上工程师。鉴定报告由一级注册结构工程师签字审核并加盖执业章，明确了专业技术人员的责任。</w:t>
      </w:r>
      <w:r>
        <w:rPr>
          <w:rFonts w:hint="eastAsia"/>
          <w:b/>
          <w:bCs/>
          <w:sz w:val="32"/>
          <w:szCs w:val="32"/>
          <w:lang w:eastAsia="zh-CN"/>
        </w:rPr>
        <w:t>三是</w:t>
      </w:r>
      <w:r>
        <w:rPr>
          <w:rFonts w:hint="eastAsia"/>
          <w:sz w:val="32"/>
          <w:szCs w:val="32"/>
          <w:lang w:eastAsia="zh-CN"/>
        </w:rPr>
        <w:t>规范鉴定行为。强调对既往工程资料及使用历史情况的调查，严禁以局部安全鉴定代替整栋房屋安全鉴定，严禁以排查（评估）报告代替房屋安全鉴定报告，确保鉴定结论的科学性和严谨性。</w:t>
      </w:r>
      <w:r>
        <w:rPr>
          <w:rFonts w:hint="eastAsia"/>
          <w:b/>
          <w:bCs/>
          <w:sz w:val="32"/>
          <w:szCs w:val="32"/>
          <w:lang w:eastAsia="zh-CN"/>
        </w:rPr>
        <w:t>四是</w:t>
      </w:r>
      <w:r>
        <w:rPr>
          <w:rFonts w:hint="eastAsia"/>
          <w:sz w:val="32"/>
          <w:szCs w:val="32"/>
          <w:lang w:eastAsia="zh-CN"/>
        </w:rPr>
        <w:t>建立信息化防伪追溯。依托“东莞市房屋安全鉴定管理系统”，鉴定报告上传后将获得唯一标识二维码防伪，统一归集鉴定结论、机构信息等。</w:t>
      </w:r>
      <w:r>
        <w:rPr>
          <w:rFonts w:hint="eastAsia"/>
          <w:b/>
          <w:bCs/>
          <w:sz w:val="32"/>
          <w:szCs w:val="32"/>
          <w:lang w:eastAsia="zh-CN"/>
        </w:rPr>
        <w:t>五是</w:t>
      </w:r>
      <w:r>
        <w:rPr>
          <w:rFonts w:hint="eastAsia"/>
          <w:sz w:val="32"/>
          <w:szCs w:val="32"/>
          <w:lang w:eastAsia="zh-CN"/>
        </w:rPr>
        <w:t>强化信用监管及违法查处。对鉴定机构实施信用评价机制，建立鉴定报告质量抽查制度，由专家组随机抽查。对于出具虚假鉴定报告、使用虚假数据等违法违规行为，我局将</w:t>
      </w:r>
      <w:r>
        <w:rPr>
          <w:rFonts w:hint="default"/>
          <w:sz w:val="32"/>
          <w:szCs w:val="32"/>
        </w:rPr>
        <w:t>给予信用</w:t>
      </w:r>
      <w:r>
        <w:rPr>
          <w:rFonts w:hint="eastAsia"/>
          <w:sz w:val="32"/>
          <w:szCs w:val="32"/>
          <w:lang w:eastAsia="zh-CN"/>
        </w:rPr>
        <w:t>评价，依法予以失信惩戒、行政处罚等措施，</w:t>
      </w:r>
      <w:r>
        <w:rPr>
          <w:sz w:val="32"/>
          <w:szCs w:val="32"/>
        </w:rPr>
        <w:t>构成犯罪的，依法追究刑事责任</w:t>
      </w:r>
      <w:r>
        <w:rPr>
          <w:rFonts w:hint="eastAsia"/>
          <w:sz w:val="32"/>
          <w:szCs w:val="32"/>
          <w:lang w:eastAsia="zh-CN"/>
        </w:rPr>
        <w:t>。</w:t>
      </w:r>
    </w:p>
    <w:p w14:paraId="01CB90FE">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Times New Roman" w:hAnsi="Times New Roman" w:cs="Times New Roman"/>
          <w:sz w:val="32"/>
          <w:szCs w:val="32"/>
          <w:lang w:val="en-US" w:eastAsia="zh-CN"/>
        </w:rPr>
      </w:pPr>
      <w:r>
        <w:rPr>
          <w:rFonts w:hint="eastAsia" w:ascii="Times New Roman" w:hAnsi="Times New Roman" w:cs="Times New Roman"/>
          <w:sz w:val="32"/>
          <w:szCs w:val="32"/>
          <w:lang w:val="en-US" w:eastAsia="zh-CN"/>
        </w:rPr>
        <w:t>针对您提及的“既有建筑在‘改建、扩建、移位以及建筑用途或使用环境改变前’必须进行鉴定”的建议，我局已于2025年12月26日印发《东莞市限额以下工程安全生产纳管办法》，明确“</w:t>
      </w:r>
      <w:r>
        <w:rPr>
          <w:rFonts w:hint="eastAsia" w:ascii="Times New Roman" w:hAnsi="Times New Roman" w:eastAsia="仿宋_GB2312" w:cs="仿宋_GB2312"/>
          <w:color w:val="auto"/>
          <w:spacing w:val="0"/>
          <w:sz w:val="32"/>
          <w:szCs w:val="32"/>
          <w:highlight w:val="none"/>
          <w:lang w:val="en-US" w:eastAsia="zh-CN"/>
        </w:rPr>
        <w:t>涉及增加使用荷载、改变房屋使用功能等影响房屋安全使用的，应当委托鉴定机构开展房屋安全鉴定，委托原设计单位或者具有相应资质等级的设计单位提出设计方案，并委托具有相应资质等级的施工单位实施</w:t>
      </w:r>
      <w:r>
        <w:rPr>
          <w:rFonts w:hint="eastAsia" w:ascii="Times New Roman" w:hAnsi="Times New Roman" w:cs="Times New Roman"/>
          <w:sz w:val="32"/>
          <w:szCs w:val="32"/>
          <w:lang w:val="en-US" w:eastAsia="zh-CN"/>
        </w:rPr>
        <w:t>”。同时，</w:t>
      </w:r>
      <w:r>
        <w:rPr>
          <w:rFonts w:hint="eastAsia" w:ascii="Times New Roman" w:hAnsi="Times New Roman"/>
          <w:color w:val="auto"/>
          <w:spacing w:val="0"/>
          <w:highlight w:val="none"/>
          <w:lang w:eastAsia="zh-CN"/>
        </w:rPr>
        <w:t>变动建筑主体结构和承重结构的改造项目判定为高风险限额以下工程，由监管部门实施重点监管，从源头防范既有建筑改造安全风险</w:t>
      </w:r>
      <w:r>
        <w:rPr>
          <w:rFonts w:hint="eastAsia" w:ascii="Times New Roman" w:hAnsi="Times New Roman" w:cs="Times New Roman"/>
          <w:sz w:val="32"/>
          <w:szCs w:val="32"/>
          <w:lang w:val="en-US" w:eastAsia="zh-CN"/>
        </w:rPr>
        <w:t>。</w:t>
      </w:r>
    </w:p>
    <w:p w14:paraId="25A5BC67">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黑体" w:hAnsi="黑体" w:eastAsia="黑体" w:cs="黑体"/>
          <w:sz w:val="32"/>
          <w:szCs w:val="32"/>
          <w:lang w:eastAsia="zh-CN"/>
        </w:rPr>
      </w:pPr>
      <w:r>
        <w:rPr>
          <w:rFonts w:hint="eastAsia" w:ascii="黑体" w:hAnsi="黑体" w:eastAsia="黑体" w:cs="黑体"/>
          <w:sz w:val="32"/>
          <w:szCs w:val="32"/>
          <w:lang w:eastAsia="zh-CN"/>
        </w:rPr>
        <w:t>二、依托现行政策体系稳妥化解消防实操难题</w:t>
      </w:r>
    </w:p>
    <w:p w14:paraId="3A04C3AB">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Times New Roman" w:hAnsi="Times New Roman" w:cs="Times New Roman"/>
          <w:sz w:val="32"/>
          <w:szCs w:val="32"/>
          <w:lang w:val="en-US" w:eastAsia="zh-CN"/>
        </w:rPr>
      </w:pPr>
      <w:r>
        <w:rPr>
          <w:rFonts w:hint="eastAsia" w:ascii="Times New Roman" w:hAnsi="Times New Roman" w:cs="Times New Roman"/>
          <w:sz w:val="32"/>
          <w:szCs w:val="32"/>
          <w:lang w:val="en-US" w:eastAsia="zh-CN"/>
        </w:rPr>
        <w:t>针对您提及的“出台《东莞市既有建筑改造消防设计指南》”的建议。按照国家有关规定，既有建筑改造应优先执行国家现行工程建设消防有关标准，根据《建筑防火通用规范》前言，对于既有建筑改造项目（指不改变现有使用功能），当条件不具备、执行现行规范确有困难时，应不低于原建造时的标准。既有建筑改造工程相关责任主体应根据项目具体情况提出防火技术措施，确保满足《建筑防火通用规范》等规范提出的性能要求。</w:t>
      </w:r>
    </w:p>
    <w:p w14:paraId="6138EC73">
      <w:pPr>
        <w:pStyle w:val="16"/>
        <w:spacing w:line="560" w:lineRule="exact"/>
        <w:ind w:firstLine="640" w:firstLineChars="200"/>
        <w:jc w:val="both"/>
        <w:rPr>
          <w:rFonts w:hint="eastAsia" w:ascii="Times New Roman" w:hAnsi="Times New Roman" w:eastAsia="仿宋_GB2312" w:cs="Times New Roman"/>
          <w:b w:val="0"/>
          <w:bCs w:val="0"/>
          <w:kern w:val="2"/>
          <w:sz w:val="32"/>
          <w:szCs w:val="32"/>
          <w:lang w:val="en-US" w:eastAsia="zh-CN" w:bidi="ar-SA"/>
        </w:rPr>
      </w:pPr>
      <w:r>
        <w:rPr>
          <w:rFonts w:hint="eastAsia" w:ascii="Times New Roman" w:hAnsi="Times New Roman" w:eastAsia="仿宋_GB2312" w:cs="Times New Roman"/>
          <w:b w:val="0"/>
          <w:bCs w:val="0"/>
          <w:kern w:val="2"/>
          <w:sz w:val="32"/>
          <w:szCs w:val="32"/>
          <w:lang w:val="en-US" w:eastAsia="zh-CN" w:bidi="ar-SA"/>
        </w:rPr>
        <w:t>经了解，国家、省层面正开展不符合有关规定的地方标准、指南清理工作，明确地市层面无权制定与国家、省标准相冲突的地方标准（包括指南），国家正在制定《既有建筑改造防火设计标准》，重点解决既有建筑改造标准不清、流程不明确、适用标准模糊的问题。</w:t>
      </w:r>
    </w:p>
    <w:p w14:paraId="6AFE04CF">
      <w:pPr>
        <w:pStyle w:val="16"/>
        <w:spacing w:line="560" w:lineRule="exact"/>
        <w:ind w:firstLine="640" w:firstLineChars="200"/>
        <w:jc w:val="both"/>
        <w:rPr>
          <w:rFonts w:hint="eastAsia"/>
          <w:lang w:val="en-US" w:eastAsia="zh-CN"/>
        </w:rPr>
      </w:pPr>
      <w:r>
        <w:rPr>
          <w:rFonts w:hint="eastAsia" w:ascii="Times New Roman" w:hAnsi="Times New Roman" w:cs="Times New Roman"/>
          <w:b w:val="0"/>
          <w:bCs w:val="0"/>
          <w:kern w:val="2"/>
          <w:sz w:val="32"/>
          <w:szCs w:val="32"/>
          <w:lang w:val="en-US" w:eastAsia="zh-CN" w:bidi="ar-SA"/>
        </w:rPr>
        <w:t>2025年11月14日</w:t>
      </w:r>
      <w:r>
        <w:rPr>
          <w:rFonts w:hint="eastAsia" w:ascii="Times New Roman" w:hAnsi="Times New Roman" w:eastAsia="仿宋_GB2312" w:cs="Times New Roman"/>
          <w:b w:val="0"/>
          <w:bCs w:val="0"/>
          <w:kern w:val="2"/>
          <w:sz w:val="32"/>
          <w:szCs w:val="32"/>
          <w:lang w:val="en-US" w:eastAsia="zh-CN" w:bidi="ar-SA"/>
        </w:rPr>
        <w:t>，我</w:t>
      </w:r>
      <w:r>
        <w:rPr>
          <w:rFonts w:hint="eastAsia" w:ascii="Times New Roman" w:hAnsi="Times New Roman" w:cs="Times New Roman"/>
          <w:b w:val="0"/>
          <w:bCs w:val="0"/>
          <w:kern w:val="2"/>
          <w:sz w:val="32"/>
          <w:szCs w:val="32"/>
          <w:lang w:val="en-US" w:eastAsia="zh-CN" w:bidi="ar-SA"/>
        </w:rPr>
        <w:t>局</w:t>
      </w:r>
      <w:r>
        <w:rPr>
          <w:rFonts w:hint="eastAsia" w:ascii="Times New Roman" w:hAnsi="Times New Roman" w:eastAsia="仿宋_GB2312" w:cs="Times New Roman"/>
          <w:b w:val="0"/>
          <w:bCs w:val="0"/>
          <w:kern w:val="2"/>
          <w:sz w:val="32"/>
          <w:szCs w:val="32"/>
          <w:lang w:val="en-US" w:eastAsia="zh-CN" w:bidi="ar-SA"/>
        </w:rPr>
        <w:t>会同有关部门在既有建筑改造利用方面进行了深入研究探索，并因地制宜出台了具有东莞特色的政策文件，</w:t>
      </w:r>
      <w:r>
        <w:rPr>
          <w:rFonts w:hint="eastAsia" w:ascii="Times New Roman" w:hAnsi="Times New Roman" w:cs="Times New Roman"/>
          <w:b w:val="0"/>
          <w:bCs w:val="0"/>
          <w:kern w:val="2"/>
          <w:sz w:val="32"/>
          <w:szCs w:val="32"/>
          <w:lang w:val="en-US" w:eastAsia="zh-CN" w:bidi="ar-SA"/>
        </w:rPr>
        <w:t>出台</w:t>
      </w:r>
      <w:r>
        <w:rPr>
          <w:rFonts w:hint="eastAsia" w:ascii="Times New Roman" w:hAnsi="Times New Roman" w:eastAsia="仿宋_GB2312" w:cs="Times New Roman"/>
          <w:b w:val="0"/>
          <w:bCs w:val="0"/>
          <w:kern w:val="2"/>
          <w:sz w:val="32"/>
          <w:szCs w:val="32"/>
          <w:lang w:val="en-US" w:eastAsia="zh-CN" w:bidi="ar-SA"/>
        </w:rPr>
        <w:t>《东莞市既有建筑改变使用功能规划消防联合审查管理办法》，以正负面清单形式优化办理路径，支持民生工程实施，及时回应社会对既有建筑改造利用的迫切需求</w:t>
      </w:r>
      <w:r>
        <w:rPr>
          <w:rFonts w:hint="eastAsia" w:ascii="Times New Roman" w:hAnsi="Times New Roman" w:cs="Times New Roman"/>
          <w:b w:val="0"/>
          <w:bCs w:val="0"/>
          <w:kern w:val="2"/>
          <w:sz w:val="32"/>
          <w:szCs w:val="32"/>
          <w:lang w:val="en-US" w:eastAsia="zh-CN" w:bidi="ar-SA"/>
        </w:rPr>
        <w:t>；</w:t>
      </w:r>
      <w:r>
        <w:rPr>
          <w:rFonts w:hint="eastAsia" w:ascii="Times New Roman" w:hAnsi="Times New Roman" w:eastAsia="仿宋_GB2312" w:cs="Times New Roman"/>
          <w:b w:val="0"/>
          <w:bCs w:val="0"/>
          <w:kern w:val="2"/>
          <w:sz w:val="32"/>
          <w:szCs w:val="32"/>
          <w:lang w:val="en-US" w:eastAsia="zh-CN" w:bidi="ar-SA"/>
        </w:rPr>
        <w:t>出台《关于解决我市公有涉民生工程和历史文化保护利用工程消防设计审查验收有关问题的实施方案（试行）》，有效解决我市重点项目民生项目因历史原因土地规划暂未理顺而无法办理消防审批的突出问题，为历史文化街区历史建筑活化利用提供切实可行路径，推动东莞记忆项目首期工程顺利运营。</w:t>
      </w:r>
    </w:p>
    <w:p w14:paraId="6AB9E5C3">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Times New Roman" w:hAnsi="Times New Roman" w:eastAsia="仿宋_GB2312"/>
          <w:sz w:val="32"/>
          <w:szCs w:val="32"/>
          <w:highlight w:val="none"/>
          <w:lang w:val="en-US" w:eastAsia="zh-CN"/>
        </w:rPr>
      </w:pPr>
      <w:r>
        <w:rPr>
          <w:rFonts w:hint="eastAsia" w:ascii="Times New Roman" w:hAnsi="Times New Roman"/>
          <w:sz w:val="32"/>
          <w:szCs w:val="32"/>
          <w:highlight w:val="none"/>
          <w:lang w:val="en-US" w:eastAsia="zh-CN"/>
        </w:rPr>
        <w:t>为切实做好房屋安全鉴定管理工作，加快构建建筑安全管理体系，下一步我局将重点推进以下工作：</w:t>
      </w:r>
      <w:r>
        <w:rPr>
          <w:rFonts w:hint="eastAsia" w:ascii="Times New Roman" w:hAnsi="Times New Roman"/>
          <w:b/>
          <w:bCs/>
          <w:sz w:val="32"/>
          <w:szCs w:val="32"/>
          <w:highlight w:val="none"/>
          <w:lang w:val="en-US" w:eastAsia="zh-CN"/>
        </w:rPr>
        <w:t>一是</w:t>
      </w:r>
      <w:r>
        <w:rPr>
          <w:rFonts w:hint="eastAsia" w:ascii="Times New Roman" w:hAnsi="Times New Roman"/>
          <w:sz w:val="32"/>
          <w:szCs w:val="32"/>
          <w:highlight w:val="none"/>
          <w:lang w:val="en-US" w:eastAsia="zh-CN"/>
        </w:rPr>
        <w:t>加快推动规章立法，筑牢行业准入底线。鉴于目前国家法律法规及省级政策文件，均未明确房屋安全鉴定机构的资质要求，我局将持续推动出台</w:t>
      </w:r>
      <w:r>
        <w:rPr>
          <w:rFonts w:hint="eastAsia" w:ascii="Times New Roman" w:hAnsi="Times New Roman" w:eastAsia="仿宋_GB2312"/>
          <w:sz w:val="32"/>
          <w:szCs w:val="32"/>
        </w:rPr>
        <w:t>政府规章《东莞市房屋使用安全管理规定》</w:t>
      </w:r>
      <w:r>
        <w:rPr>
          <w:rFonts w:hint="eastAsia" w:ascii="Times New Roman" w:hAnsi="Times New Roman"/>
          <w:sz w:val="32"/>
          <w:szCs w:val="32"/>
          <w:lang w:eastAsia="zh-CN"/>
        </w:rPr>
        <w:t>，严格对标国家、省现行法律法规及技术规范，全面借鉴省内广州、深圳、佛山、惠州等先进地市管理经验，明确房屋安全鉴定机构准入标准、从业人员资格条件等要求，实现行业监管有法可依、有规可循。</w:t>
      </w:r>
      <w:r>
        <w:rPr>
          <w:rFonts w:hint="eastAsia" w:ascii="Times New Roman" w:hAnsi="Times New Roman"/>
          <w:b/>
          <w:bCs/>
          <w:sz w:val="32"/>
          <w:szCs w:val="32"/>
          <w:highlight w:val="none"/>
          <w:lang w:eastAsia="zh-CN"/>
        </w:rPr>
        <w:t>二是</w:t>
      </w:r>
      <w:r>
        <w:rPr>
          <w:rFonts w:hint="eastAsia" w:ascii="Times New Roman" w:hAnsi="Times New Roman"/>
          <w:sz w:val="32"/>
          <w:szCs w:val="32"/>
          <w:highlight w:val="none"/>
          <w:lang w:eastAsia="zh-CN"/>
        </w:rPr>
        <w:t>持续深化既有建筑消防管控提质增效。加强对既有建筑改造消防审验政策措施的研究，坚持统筹发展和安全，深入推进我市已建房屋建筑消防审验历史问题专项治理，针对去年排查摸底情况出台分类治理措施，强化部门间执法协作，守住建筑安全和消防安全底线。同时，加强与协会、设计单位、服务机构等技术单位沟通协作，推动我市既有建筑改造项目消防设计和施工实施，组织开展《既有建筑改造防火设计标准》宣贯培训。</w:t>
      </w:r>
    </w:p>
    <w:p w14:paraId="3300216A">
      <w:pPr>
        <w:keepNext w:val="0"/>
        <w:keepLines w:val="0"/>
        <w:pageBreakBefore w:val="0"/>
        <w:widowControl w:val="0"/>
        <w:numPr>
          <w:ilvl w:val="0"/>
          <w:numId w:val="0"/>
        </w:numPr>
        <w:kinsoku/>
        <w:wordWrap/>
        <w:overflowPunct/>
        <w:topLinePunct w:val="0"/>
        <w:autoSpaceDE/>
        <w:autoSpaceDN/>
        <w:bidi w:val="0"/>
        <w:spacing w:line="560" w:lineRule="exact"/>
        <w:ind w:firstLine="640" w:firstLineChars="200"/>
        <w:textAlignment w:val="auto"/>
        <w:rPr>
          <w:rFonts w:hint="default" w:ascii="Times New Roman" w:hAnsi="Times New Roman" w:cs="Times New Roman"/>
          <w:szCs w:val="32"/>
          <w:lang w:eastAsia="zh-CN"/>
        </w:rPr>
      </w:pPr>
      <w:r>
        <w:rPr>
          <w:rFonts w:ascii="Times New Roman" w:hAnsi="Times New Roman" w:eastAsia="仿宋_GB2312"/>
          <w:sz w:val="32"/>
          <w:szCs w:val="32"/>
        </w:rPr>
        <w:t>专此答复，诚挚感谢</w:t>
      </w:r>
      <w:r>
        <w:rPr>
          <w:rFonts w:hint="eastAsia" w:ascii="Times New Roman" w:hAnsi="Times New Roman"/>
          <w:sz w:val="32"/>
          <w:szCs w:val="32"/>
          <w:lang w:eastAsia="zh-CN"/>
        </w:rPr>
        <w:t>贵委</w:t>
      </w:r>
      <w:r>
        <w:rPr>
          <w:rFonts w:ascii="Times New Roman" w:hAnsi="Times New Roman" w:eastAsia="仿宋_GB2312"/>
          <w:sz w:val="32"/>
          <w:szCs w:val="32"/>
        </w:rPr>
        <w:t>对</w:t>
      </w:r>
      <w:r>
        <w:rPr>
          <w:rFonts w:hint="eastAsia" w:ascii="Times New Roman" w:hAnsi="Times New Roman" w:cs="Times New Roman"/>
          <w:szCs w:val="32"/>
          <w:lang w:eastAsia="zh-CN"/>
        </w:rPr>
        <w:t>既有房屋安全管理</w:t>
      </w:r>
      <w:r>
        <w:rPr>
          <w:rFonts w:ascii="Times New Roman" w:hAnsi="Times New Roman" w:eastAsia="仿宋_GB2312"/>
          <w:sz w:val="32"/>
          <w:szCs w:val="32"/>
        </w:rPr>
        <w:t>工作的关心和支持。</w:t>
      </w:r>
    </w:p>
    <w:p w14:paraId="0E3B8788">
      <w:pPr>
        <w:keepNext w:val="0"/>
        <w:keepLines w:val="0"/>
        <w:pageBreakBefore w:val="0"/>
        <w:widowControl w:val="0"/>
        <w:tabs>
          <w:tab w:val="left" w:pos="2227"/>
        </w:tabs>
        <w:kinsoku/>
        <w:wordWrap/>
        <w:overflowPunct/>
        <w:topLinePunct w:val="0"/>
        <w:autoSpaceDE/>
        <w:autoSpaceDN/>
        <w:bidi w:val="0"/>
        <w:adjustRightInd/>
        <w:snapToGrid/>
        <w:spacing w:line="560" w:lineRule="exact"/>
        <w:ind w:firstLine="645"/>
        <w:textAlignment w:val="auto"/>
        <w:rPr>
          <w:rFonts w:hint="default" w:ascii="Times New Roman" w:hAnsi="Times New Roman" w:cs="Times New Roman"/>
          <w:szCs w:val="32"/>
          <w:lang w:eastAsia="zh-CN"/>
        </w:rPr>
      </w:pPr>
    </w:p>
    <w:p w14:paraId="77DF2481">
      <w:pPr>
        <w:keepNext w:val="0"/>
        <w:keepLines w:val="0"/>
        <w:pageBreakBefore w:val="0"/>
        <w:widowControl w:val="0"/>
        <w:tabs>
          <w:tab w:val="left" w:pos="2227"/>
        </w:tabs>
        <w:kinsoku/>
        <w:wordWrap/>
        <w:overflowPunct/>
        <w:topLinePunct w:val="0"/>
        <w:autoSpaceDE/>
        <w:autoSpaceDN/>
        <w:bidi w:val="0"/>
        <w:adjustRightInd/>
        <w:snapToGrid/>
        <w:spacing w:line="560" w:lineRule="exact"/>
        <w:ind w:firstLine="645"/>
        <w:textAlignment w:val="auto"/>
        <w:rPr>
          <w:rFonts w:hint="default" w:ascii="Times New Roman" w:hAnsi="Times New Roman" w:cs="Times New Roman"/>
          <w:szCs w:val="32"/>
          <w:lang w:eastAsia="zh-CN"/>
        </w:rPr>
      </w:pPr>
    </w:p>
    <w:p w14:paraId="1CE82467">
      <w:pPr>
        <w:keepNext w:val="0"/>
        <w:keepLines w:val="0"/>
        <w:pageBreakBefore w:val="0"/>
        <w:widowControl w:val="0"/>
        <w:kinsoku/>
        <w:wordWrap/>
        <w:overflowPunct/>
        <w:topLinePunct w:val="0"/>
        <w:autoSpaceDE/>
        <w:autoSpaceDN/>
        <w:bidi w:val="0"/>
        <w:adjustRightInd w:val="0"/>
        <w:snapToGrid w:val="0"/>
        <w:spacing w:line="560" w:lineRule="exact"/>
        <w:textAlignment w:val="auto"/>
        <w:rPr>
          <w:rFonts w:hint="default" w:ascii="Times New Roman" w:hAnsi="Times New Roman" w:cs="Times New Roman"/>
        </w:rPr>
      </w:pPr>
      <w:r>
        <w:rPr>
          <w:rFonts w:hint="default" w:ascii="Times New Roman" w:hAnsi="Times New Roman" w:cs="Times New Roman"/>
        </w:rPr>
        <w:t xml:space="preserve"> </w:t>
      </w:r>
      <w:r>
        <w:rPr>
          <w:rFonts w:hint="default" w:ascii="Times New Roman" w:hAnsi="Times New Roman" w:cs="Times New Roman"/>
          <w:lang w:val="en-US" w:eastAsia="zh-CN"/>
        </w:rPr>
        <w:t xml:space="preserve">                           </w:t>
      </w:r>
      <w:r>
        <w:rPr>
          <w:rFonts w:hint="default" w:ascii="Times New Roman" w:hAnsi="Times New Roman" w:cs="Times New Roman"/>
        </w:rPr>
        <w:t>东莞市住房和城乡建设局</w:t>
      </w:r>
    </w:p>
    <w:p w14:paraId="24F39B27">
      <w:pPr>
        <w:keepNext w:val="0"/>
        <w:keepLines w:val="0"/>
        <w:pageBreakBefore w:val="0"/>
        <w:widowControl w:val="0"/>
        <w:kinsoku/>
        <w:wordWrap/>
        <w:overflowPunct/>
        <w:topLinePunct w:val="0"/>
        <w:autoSpaceDE/>
        <w:autoSpaceDN/>
        <w:bidi w:val="0"/>
        <w:adjustRightInd w:val="0"/>
        <w:snapToGrid w:val="0"/>
        <w:spacing w:line="560" w:lineRule="exact"/>
        <w:ind w:firstLine="5120" w:firstLineChars="1600"/>
        <w:textAlignment w:val="auto"/>
        <w:rPr>
          <w:rFonts w:hint="default" w:ascii="Times New Roman" w:hAnsi="Times New Roman" w:cs="Times New Roman"/>
        </w:rPr>
      </w:pPr>
      <w:r>
        <w:rPr>
          <w:rFonts w:hint="default" w:ascii="Times New Roman" w:hAnsi="Times New Roman" w:cs="Times New Roman"/>
        </w:rPr>
        <w:t>202</w:t>
      </w:r>
      <w:r>
        <w:rPr>
          <w:rFonts w:hint="eastAsia" w:ascii="Times New Roman" w:hAnsi="Times New Roman" w:cs="Times New Roman"/>
          <w:lang w:val="en-US" w:eastAsia="zh-CN"/>
        </w:rPr>
        <w:t>6</w:t>
      </w:r>
      <w:r>
        <w:rPr>
          <w:rFonts w:hint="default" w:ascii="Times New Roman" w:hAnsi="Times New Roman" w:cs="Times New Roman"/>
        </w:rPr>
        <w:t>年</w:t>
      </w:r>
      <w:r>
        <w:rPr>
          <w:rFonts w:hint="eastAsia" w:ascii="Times New Roman" w:hAnsi="Times New Roman" w:cs="Times New Roman"/>
          <w:lang w:val="en-US" w:eastAsia="zh-CN"/>
        </w:rPr>
        <w:t>7</w:t>
      </w:r>
      <w:r>
        <w:rPr>
          <w:rFonts w:hint="default" w:ascii="Times New Roman" w:hAnsi="Times New Roman" w:cs="Times New Roman"/>
        </w:rPr>
        <w:t>月</w:t>
      </w:r>
      <w:r>
        <w:rPr>
          <w:rFonts w:hint="eastAsia" w:ascii="Times New Roman" w:hAnsi="Times New Roman" w:cs="Times New Roman"/>
          <w:lang w:val="en-US" w:eastAsia="zh-CN"/>
        </w:rPr>
        <w:t>2</w:t>
      </w:r>
      <w:r>
        <w:rPr>
          <w:rFonts w:hint="eastAsia" w:cs="Times New Roman"/>
          <w:lang w:val="en-US" w:eastAsia="zh-CN"/>
        </w:rPr>
        <w:t>7</w:t>
      </w:r>
      <w:r>
        <w:rPr>
          <w:rFonts w:hint="default" w:ascii="Times New Roman" w:hAnsi="Times New Roman" w:cs="Times New Roman"/>
        </w:rPr>
        <w:t>日</w:t>
      </w:r>
    </w:p>
    <w:p w14:paraId="162B83D5">
      <w:pPr>
        <w:keepNext w:val="0"/>
        <w:keepLines w:val="0"/>
        <w:pageBreakBefore w:val="0"/>
        <w:widowControl w:val="0"/>
        <w:kinsoku/>
        <w:wordWrap/>
        <w:overflowPunct/>
        <w:topLinePunct w:val="0"/>
        <w:autoSpaceDE/>
        <w:autoSpaceDN/>
        <w:bidi w:val="0"/>
        <w:adjustRightInd w:val="0"/>
        <w:snapToGrid w:val="0"/>
        <w:spacing w:line="560" w:lineRule="exact"/>
        <w:ind w:firstLine="5120" w:firstLineChars="1600"/>
        <w:textAlignment w:val="auto"/>
        <w:rPr>
          <w:rFonts w:hint="default" w:ascii="Times New Roman" w:hAnsi="Times New Roman" w:cs="Times New Roman"/>
        </w:rPr>
      </w:pPr>
    </w:p>
    <w:p w14:paraId="00BF7ED9">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ascii="Times New Roman" w:hAnsi="黑体" w:eastAsia="黑体" w:cs="Times New Roman"/>
          <w:sz w:val="32"/>
          <w:szCs w:val="32"/>
        </w:rPr>
      </w:pPr>
      <w:r>
        <w:rPr>
          <w:rFonts w:hint="default" w:ascii="Times New Roman" w:hAnsi="Times New Roman" w:cs="Times New Roman"/>
        </w:rPr>
        <w:t>（联系人：</w:t>
      </w:r>
      <w:r>
        <w:rPr>
          <w:rFonts w:hint="eastAsia" w:ascii="Times New Roman" w:hAnsi="Times New Roman" w:cs="Times New Roman"/>
          <w:lang w:eastAsia="zh-CN"/>
        </w:rPr>
        <w:t>房安科</w:t>
      </w:r>
      <w:r>
        <w:rPr>
          <w:rFonts w:hint="default" w:ascii="Times New Roman" w:hAnsi="Times New Roman" w:cs="Times New Roman"/>
          <w:sz w:val="32"/>
          <w:szCs w:val="32"/>
          <w:lang w:val="en-US" w:eastAsia="zh-CN"/>
        </w:rPr>
        <w:t xml:space="preserve"> </w:t>
      </w:r>
      <w:r>
        <w:rPr>
          <w:rFonts w:hint="eastAsia" w:ascii="Times New Roman" w:hAnsi="Times New Roman" w:cs="Times New Roman"/>
          <w:sz w:val="32"/>
          <w:szCs w:val="32"/>
          <w:lang w:val="en-US" w:eastAsia="zh-CN"/>
        </w:rPr>
        <w:t>曾展鹏</w:t>
      </w:r>
      <w:r>
        <w:rPr>
          <w:rFonts w:hint="default" w:ascii="Times New Roman" w:hAnsi="Times New Roman" w:cs="Times New Roman"/>
          <w:sz w:val="32"/>
          <w:szCs w:val="32"/>
          <w:lang w:val="en-US" w:eastAsia="zh-CN"/>
        </w:rPr>
        <w:t>，联系电话：</w:t>
      </w:r>
      <w:bookmarkStart w:id="1" w:name="_GoBack"/>
      <w:bookmarkEnd w:id="1"/>
      <w:r>
        <w:rPr>
          <w:rFonts w:hint="eastAsia" w:ascii="Times New Roman" w:hAnsi="Times New Roman" w:cs="Times New Roman"/>
          <w:sz w:val="32"/>
          <w:szCs w:val="32"/>
          <w:lang w:val="en-US" w:eastAsia="zh-CN"/>
        </w:rPr>
        <w:t>22671711</w:t>
      </w:r>
      <w:r>
        <w:rPr>
          <w:rFonts w:hint="default" w:ascii="Times New Roman" w:hAnsi="Times New Roman" w:cs="Times New Roman"/>
          <w:lang w:val="en-US" w:eastAsia="zh-CN"/>
        </w:rPr>
        <w:t>。）</w:t>
      </w:r>
    </w:p>
    <w:p w14:paraId="6892AFEC">
      <w:pPr>
        <w:keepNext w:val="0"/>
        <w:keepLines w:val="0"/>
        <w:pageBreakBefore w:val="0"/>
        <w:widowControl w:val="0"/>
        <w:kinsoku/>
        <w:wordWrap/>
        <w:overflowPunct/>
        <w:topLinePunct w:val="0"/>
        <w:autoSpaceDE/>
        <w:autoSpaceDN/>
        <w:bidi w:val="0"/>
        <w:spacing w:line="560" w:lineRule="exact"/>
        <w:textAlignment w:val="auto"/>
        <w:rPr>
          <w:rFonts w:ascii="Times New Roman" w:hAnsi="黑体" w:eastAsia="黑体" w:cs="Times New Roman"/>
          <w:sz w:val="32"/>
          <w:szCs w:val="32"/>
        </w:rPr>
      </w:pPr>
    </w:p>
    <w:p w14:paraId="54D538D7">
      <w:pPr>
        <w:pStyle w:val="16"/>
        <w:rPr>
          <w:rFonts w:ascii="Times New Roman" w:hAnsi="黑体" w:eastAsia="黑体" w:cs="Times New Roman"/>
          <w:sz w:val="32"/>
          <w:szCs w:val="32"/>
        </w:rPr>
      </w:pPr>
    </w:p>
    <w:p w14:paraId="24BF1F4F">
      <w:pPr>
        <w:pStyle w:val="16"/>
        <w:rPr>
          <w:rFonts w:ascii="Times New Roman" w:hAnsi="黑体" w:eastAsia="黑体" w:cs="Times New Roman"/>
          <w:sz w:val="32"/>
          <w:szCs w:val="32"/>
        </w:rPr>
      </w:pPr>
    </w:p>
    <w:p w14:paraId="7A9D4621">
      <w:pPr>
        <w:pStyle w:val="16"/>
        <w:rPr>
          <w:rFonts w:ascii="Times New Roman" w:hAnsi="黑体" w:eastAsia="黑体" w:cs="Times New Roman"/>
          <w:sz w:val="32"/>
          <w:szCs w:val="32"/>
        </w:rPr>
      </w:pPr>
    </w:p>
    <w:p w14:paraId="2BA4D057">
      <w:pPr>
        <w:pStyle w:val="16"/>
        <w:rPr>
          <w:rFonts w:ascii="Times New Roman" w:hAnsi="黑体" w:eastAsia="黑体" w:cs="Times New Roman"/>
          <w:sz w:val="32"/>
          <w:szCs w:val="32"/>
        </w:rPr>
      </w:pPr>
    </w:p>
    <w:p w14:paraId="035BE49B">
      <w:pPr>
        <w:pStyle w:val="16"/>
        <w:jc w:val="both"/>
        <w:rPr>
          <w:rFonts w:ascii="Times New Roman" w:hAnsi="黑体" w:eastAsia="黑体" w:cs="Times New Roman"/>
          <w:sz w:val="32"/>
          <w:szCs w:val="32"/>
        </w:rPr>
      </w:pPr>
    </w:p>
    <w:p w14:paraId="144177F5">
      <w:pPr>
        <w:keepNext w:val="0"/>
        <w:keepLines w:val="0"/>
        <w:pageBreakBefore w:val="0"/>
        <w:widowControl w:val="0"/>
        <w:kinsoku/>
        <w:wordWrap/>
        <w:overflowPunct/>
        <w:topLinePunct w:val="0"/>
        <w:autoSpaceDE/>
        <w:autoSpaceDN/>
        <w:bidi w:val="0"/>
        <w:spacing w:line="560" w:lineRule="exact"/>
        <w:textAlignment w:val="auto"/>
        <w:rPr>
          <w:rFonts w:hint="eastAsia"/>
          <w:lang w:eastAsia="zh-CN"/>
        </w:rPr>
      </w:pPr>
      <w:r>
        <w:rPr>
          <w:rFonts w:ascii="Times New Roman" w:hAnsi="黑体" w:eastAsia="黑体" w:cs="Times New Roman"/>
          <w:sz w:val="32"/>
          <w:szCs w:val="32"/>
        </w:rPr>
        <w:t>公开方式：</w:t>
      </w:r>
      <w:r>
        <w:rPr>
          <w:rFonts w:hint="eastAsia" w:ascii="Times New Roman" w:hAnsi="黑体" w:eastAsia="黑体" w:cs="Times New Roman"/>
          <w:sz w:val="32"/>
          <w:szCs w:val="32"/>
          <w:lang w:val="en-US" w:eastAsia="zh-CN"/>
        </w:rPr>
        <w:t>不公开</w:t>
      </w:r>
    </w:p>
    <w:p w14:paraId="25C5B249">
      <w:pPr>
        <w:keepNext w:val="0"/>
        <w:keepLines w:val="0"/>
        <w:pageBreakBefore w:val="0"/>
        <w:widowControl w:val="0"/>
        <w:kinsoku/>
        <w:wordWrap/>
        <w:overflowPunct/>
        <w:topLinePunct w:val="0"/>
        <w:autoSpaceDE/>
        <w:autoSpaceDN/>
        <w:bidi w:val="0"/>
        <w:adjustRightInd/>
        <w:snapToGrid/>
        <w:spacing w:line="560" w:lineRule="exact"/>
        <w:ind w:left="1280" w:leftChars="100" w:hanging="960" w:hangingChars="300"/>
        <w:textAlignment w:val="auto"/>
      </w:pPr>
      <w:r>
        <w:rPr>
          <w:rFonts w:ascii="Times New Roman" w:hAnsi="Times New Roman" w:eastAsia="仿宋_GB2312" w:cs="Times New Roman"/>
          <w:sz w:val="32"/>
          <w:szCs w:val="32"/>
        </w:rPr>
        <w:t>抄送：</w:t>
      </w:r>
      <w:r>
        <w:rPr>
          <w:rFonts w:hint="eastAsia" w:ascii="Times New Roman" w:hAnsi="Times New Roman" w:eastAsia="仿宋_GB2312" w:cs="Times New Roman"/>
          <w:sz w:val="32"/>
          <w:szCs w:val="32"/>
          <w:lang w:eastAsia="zh-CN"/>
        </w:rPr>
        <w:t>市政府办公室、</w:t>
      </w:r>
      <w:r>
        <w:rPr>
          <w:rFonts w:ascii="Times New Roman" w:hAnsi="Times New Roman" w:eastAsia="仿宋_GB2312" w:cs="Times New Roman"/>
          <w:sz w:val="32"/>
          <w:szCs w:val="32"/>
        </w:rPr>
        <w:t>市</w:t>
      </w:r>
      <w:r>
        <w:rPr>
          <w:rFonts w:hint="eastAsia" w:ascii="Times New Roman" w:hAnsi="Times New Roman" w:eastAsia="仿宋_GB2312" w:cs="Times New Roman"/>
          <w:sz w:val="32"/>
          <w:szCs w:val="32"/>
        </w:rPr>
        <w:t>政协提案委</w:t>
      </w:r>
      <w:r>
        <w:rPr>
          <w:rFonts w:hint="eastAsia" w:ascii="仿宋_GB2312" w:hAnsi="Calibri" w:eastAsia="仿宋_GB2312" w:cs="Times New Roman"/>
          <w:sz w:val="32"/>
          <w:szCs w:val="32"/>
        </w:rPr>
        <w:t>。</w:t>
      </w:r>
    </w:p>
    <w:sectPr>
      <w:footerReference r:id="rId3" w:type="default"/>
      <w:footerReference r:id="rId4" w:type="even"/>
      <w:pgSz w:w="11906" w:h="16838"/>
      <w:pgMar w:top="2098" w:right="1474" w:bottom="1984" w:left="1587" w:header="851" w:footer="1304" w:gutter="0"/>
      <w:pgBorders w:display="firstPage">
        <w:bottom w:val="thickThinSmallGap" w:color="FF0000" w:sz="24" w:space="2"/>
      </w:pgBorders>
      <w:cols w:space="720" w:num="1"/>
      <w:titlePg/>
      <w:docGrid w:type="linesAndChars" w:linePitch="5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decorative"/>
    <w:pitch w:val="default"/>
    <w:sig w:usb0="00000001" w:usb1="080E0000" w:usb2="00000000" w:usb3="00000000" w:csb0="00040000" w:csb1="00000000"/>
  </w:font>
  <w:font w:name="华康简标题宋">
    <w:panose1 w:val="02010609000101010101"/>
    <w:charset w:val="00"/>
    <w:family w:val="decorative"/>
    <w:pitch w:val="default"/>
    <w:sig w:usb0="00000000" w:usb1="00000000" w:usb2="00000000" w:usb3="00000000" w:csb0="00000000" w:csb1="00000000"/>
  </w:font>
  <w:font w:name="Arial">
    <w:panose1 w:val="020B0604020202020204"/>
    <w:charset w:val="00"/>
    <w:family w:val="swiss"/>
    <w:pitch w:val="default"/>
    <w:sig w:usb0="E0002AFF" w:usb1="C0007843" w:usb2="00000009" w:usb3="00000000" w:csb0="400001FF" w:csb1="FFFF0000"/>
  </w:font>
  <w:font w:name="方正小标宋简体">
    <w:panose1 w:val="03000509000000000000"/>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C24876">
    <w:pPr>
      <w:pStyle w:val="23"/>
      <w:framePr w:w="1067" w:h="562" w:hRule="exact" w:wrap="around" w:vAnchor="text" w:hAnchor="page" w:x="9404" w:y="-256"/>
      <w:jc w:val="center"/>
      <w:rPr>
        <w:rStyle w:val="28"/>
        <w:rFonts w:hint="eastAsia"/>
      </w:rPr>
    </w:pPr>
    <w:r>
      <w:rPr>
        <w:rStyle w:val="28"/>
        <w:rFonts w:hint="eastAsia"/>
      </w:rPr>
      <w:t>—</w:t>
    </w:r>
    <w:r>
      <w:rPr>
        <w:rStyle w:val="28"/>
      </w:rPr>
      <w:fldChar w:fldCharType="begin"/>
    </w:r>
    <w:r>
      <w:rPr>
        <w:rStyle w:val="28"/>
      </w:rPr>
      <w:instrText xml:space="preserve">PAGE  </w:instrText>
    </w:r>
    <w:r>
      <w:rPr>
        <w:rStyle w:val="28"/>
      </w:rPr>
      <w:fldChar w:fldCharType="separate"/>
    </w:r>
    <w:r>
      <w:rPr>
        <w:rStyle w:val="28"/>
      </w:rPr>
      <w:t>3</w:t>
    </w:r>
    <w:r>
      <w:rPr>
        <w:rStyle w:val="28"/>
      </w:rPr>
      <w:fldChar w:fldCharType="end"/>
    </w:r>
    <w:r>
      <w:rPr>
        <w:rStyle w:val="28"/>
        <w:rFonts w:hint="eastAsia"/>
      </w:rPr>
      <w:t>—</w:t>
    </w:r>
  </w:p>
  <w:p w14:paraId="73049DBD">
    <w:pPr>
      <w:pStyle w:val="2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3E3661">
    <w:pPr>
      <w:pStyle w:val="23"/>
      <w:framePr w:wrap="notBeside" w:vAnchor="page" w:hAnchor="page" w:x="1669" w:y="14942"/>
      <w:rPr>
        <w:rStyle w:val="28"/>
      </w:rPr>
    </w:pPr>
    <w:r>
      <w:rPr>
        <w:rStyle w:val="28"/>
        <w:rFonts w:hint="eastAsia"/>
      </w:rPr>
      <w:t>—</w:t>
    </w:r>
    <w:r>
      <w:rPr>
        <w:rStyle w:val="28"/>
      </w:rPr>
      <w:fldChar w:fldCharType="begin"/>
    </w:r>
    <w:r>
      <w:rPr>
        <w:rStyle w:val="28"/>
      </w:rPr>
      <w:instrText xml:space="preserve">PAGE  </w:instrText>
    </w:r>
    <w:r>
      <w:rPr>
        <w:rStyle w:val="28"/>
      </w:rPr>
      <w:fldChar w:fldCharType="separate"/>
    </w:r>
    <w:r>
      <w:rPr>
        <w:rStyle w:val="28"/>
      </w:rPr>
      <w:t>2</w:t>
    </w:r>
    <w:r>
      <w:rPr>
        <w:rStyle w:val="28"/>
      </w:rPr>
      <w:fldChar w:fldCharType="end"/>
    </w:r>
    <w:r>
      <w:rPr>
        <w:rStyle w:val="28"/>
        <w:rFonts w:hint="eastAsia"/>
      </w:rPr>
      <w:t>—</w:t>
    </w:r>
  </w:p>
  <w:p w14:paraId="53C802AB">
    <w:pPr>
      <w:pStyle w:val="23"/>
      <w:ind w:right="360"/>
      <w:jc w:val="both"/>
      <w:rPr>
        <w:sz w:val="18"/>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singleLevel"/>
    <w:tmpl w:val="CF092B84"/>
    <w:lvl w:ilvl="0" w:tentative="0">
      <w:start w:val="1"/>
      <w:numFmt w:val="chineseCounting"/>
      <w:suff w:val="nothing"/>
      <w:lvlText w:val="%1、"/>
      <w:lvlJc w:val="left"/>
      <w:rPr>
        <w:rFonts w:hint="eastAsia"/>
      </w:rPr>
    </w:lvl>
  </w:abstractNum>
  <w:abstractNum w:abstractNumId="1">
    <w:nsid w:val="0053208E"/>
    <w:multiLevelType w:val="multilevel"/>
    <w:tmpl w:val="0053208E"/>
    <w:lvl w:ilvl="0" w:tentative="0">
      <w:start w:val="1"/>
      <w:numFmt w:val="none"/>
      <w:pStyle w:val="5"/>
      <w:suff w:val="nothing"/>
      <w:lvlText w:val=""/>
      <w:lvlJc w:val="left"/>
    </w:lvl>
    <w:lvl w:ilvl="1" w:tentative="0">
      <w:start w:val="0"/>
      <w:numFmt w:val="decimal"/>
      <w:pStyle w:val="6"/>
      <w:lvlText w:val="%2"/>
      <w:legacy w:legacy="1" w:legacySpace="0" w:legacyIndent="0"/>
      <w:lvlJc w:val="left"/>
      <w:rPr>
        <w:rFonts w:hint="eastAsia" w:ascii="宋体" w:eastAsia="宋体"/>
      </w:rPr>
    </w:lvl>
    <w:lvl w:ilvl="2" w:tentative="0">
      <w:start w:val="0"/>
      <w:numFmt w:val="decimal"/>
      <w:pStyle w:val="7"/>
      <w:lvlText w:val="%3"/>
      <w:legacy w:legacy="1" w:legacySpace="0" w:legacyIndent="0"/>
      <w:lvlJc w:val="left"/>
      <w:rPr>
        <w:rFonts w:hint="eastAsia" w:ascii="宋体" w:eastAsia="宋体"/>
      </w:rPr>
    </w:lvl>
    <w:lvl w:ilvl="3" w:tentative="0">
      <w:start w:val="0"/>
      <w:numFmt w:val="decimal"/>
      <w:pStyle w:val="8"/>
      <w:lvlText w:val="%4"/>
      <w:legacy w:legacy="1" w:legacySpace="0" w:legacyIndent="0"/>
      <w:lvlJc w:val="left"/>
      <w:rPr>
        <w:rFonts w:hint="eastAsia" w:ascii="宋体" w:eastAsia="宋体"/>
      </w:rPr>
    </w:lvl>
    <w:lvl w:ilvl="4" w:tentative="0">
      <w:start w:val="0"/>
      <w:numFmt w:val="decimal"/>
      <w:pStyle w:val="9"/>
      <w:lvlText w:val="%5"/>
      <w:legacy w:legacy="1" w:legacySpace="0" w:legacyIndent="0"/>
      <w:lvlJc w:val="left"/>
      <w:rPr>
        <w:rFonts w:hint="eastAsia" w:ascii="宋体" w:eastAsia="宋体"/>
      </w:rPr>
    </w:lvl>
    <w:lvl w:ilvl="5" w:tentative="0">
      <w:start w:val="0"/>
      <w:numFmt w:val="decimal"/>
      <w:pStyle w:val="10"/>
      <w:lvlText w:val="%6"/>
      <w:legacy w:legacy="1" w:legacySpace="0" w:legacyIndent="0"/>
      <w:lvlJc w:val="left"/>
      <w:rPr>
        <w:rFonts w:hint="eastAsia" w:ascii="宋体" w:eastAsia="宋体"/>
      </w:rPr>
    </w:lvl>
    <w:lvl w:ilvl="6" w:tentative="0">
      <w:start w:val="0"/>
      <w:numFmt w:val="decimal"/>
      <w:pStyle w:val="11"/>
      <w:lvlText w:val="%7"/>
      <w:legacy w:legacy="1" w:legacySpace="0" w:legacyIndent="0"/>
      <w:lvlJc w:val="left"/>
      <w:rPr>
        <w:rFonts w:hint="eastAsia" w:ascii="宋体" w:eastAsia="宋体"/>
      </w:rPr>
    </w:lvl>
    <w:lvl w:ilvl="7" w:tentative="0">
      <w:start w:val="0"/>
      <w:numFmt w:val="decimal"/>
      <w:pStyle w:val="12"/>
      <w:lvlText w:val="%8"/>
      <w:legacy w:legacy="1" w:legacySpace="0" w:legacyIndent="0"/>
      <w:lvlJc w:val="left"/>
      <w:rPr>
        <w:rFonts w:hint="eastAsia" w:ascii="宋体" w:eastAsia="宋体"/>
      </w:rPr>
    </w:lvl>
    <w:lvl w:ilvl="8" w:tentative="0">
      <w:start w:val="0"/>
      <w:numFmt w:val="decimal"/>
      <w:pStyle w:val="13"/>
      <w:lvlText w:val="%9"/>
      <w:legacy w:legacy="1" w:legacySpace="0" w:legacyIndent="0"/>
      <w:lvlJc w:val="left"/>
      <w:rPr>
        <w:rFonts w:hint="eastAsia" w:ascii="宋体" w:eastAsia="宋体"/>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lignBordersAndEdges w:val="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attachedTemplate r:id="rId1"/>
  <w:revisionView w:markup="0"/>
  <w:trackRevisions w:val="1"/>
  <w:documentProtection w:enforcement="0"/>
  <w:defaultTabStop w:val="420"/>
  <w:evenAndOddHeaders w:val="1"/>
  <w:drawingGridHorizontalSpacing w:val="160"/>
  <w:drawingGridVerticalSpacing w:val="280"/>
  <w:noPunctuationKerning w:val="1"/>
  <w:characterSpacingControl w:val="compressPunctuation"/>
  <w:noLineBreaksAfter w:lang="zh-CN" w:val="([{·‘“〈《「『【〔〖（．［｛￡￥"/>
  <w:noLineBreaksBefore w:lang="zh-CN" w:val="!),.:;?]}¨·ˇˉ―‖’”…∶、。〃々〉》」』】〕〗！＂＇），．：；？］｀｜｝～￠"/>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5"/>
    <w:compatSetting w:name="enableOpenTypeFeatures" w:uri="http://schemas.microsoft.com/office/word" w:val="1"/>
    <w:compatSetting w:name="doNotFlipMirrorIndents" w:uri="http://schemas.microsoft.com/office/word" w:val="1"/>
  </w:compat>
  <w:rsids>
    <w:rsidRoot w:val="00000000"/>
    <w:rsid w:val="1C4F4A80"/>
    <w:rsid w:val="4C2E0E3B"/>
  </w:rsids>
  <m:mathPr>
    <m:brkBin m:val="before"/>
    <m:brkBinSub m:val="--"/>
    <m:smallFrac m:val="0"/>
    <m:dispDef/>
    <m:lMargin m:val="0"/>
    <m:rMargin m:val="0"/>
    <m:defJc m:val="centerGroup"/>
    <m:wrapIndent m:val="1440"/>
    <m:intLim m:val="subSup"/>
    <m:naryLim m:val="undOvr"/>
  </m:mathPr>
  <w:uiCompat97To2003/>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iPriority="99"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4">
    <w:name w:val="Default Paragraph Font"/>
    <w:semiHidden/>
    <w:uiPriority w:val="0"/>
  </w:style>
  <w:style w:type="table" w:default="1" w:styleId="2">
    <w:name w:val="Normal Table"/>
    <w:semiHidden/>
    <w:unhideWhenUsed/>
    <w:qFormat/>
    <w:uiPriority w:val="99"/>
    <w:tblPr>
      <w:tblCellMar>
        <w:top w:w="0" w:type="dxa"/>
        <w:left w:w="108" w:type="dxa"/>
        <w:bottom w:w="0" w:type="dxa"/>
        <w:right w:w="108" w:type="dxa"/>
      </w:tblCellMar>
    </w:tblPr>
  </w:style>
  <w:style w:type="table" w:styleId="3">
    <w:name w:val="Table Grid"/>
    <w:basedOn w:val="2"/>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5">
    <w:name w:val="标题 11"/>
    <w:basedOn w:val="1"/>
    <w:next w:val="1"/>
    <w:qFormat/>
    <w:uiPriority w:val="0"/>
    <w:pPr>
      <w:keepNext/>
      <w:keepLines/>
      <w:widowControl/>
      <w:numPr>
        <w:ilvl w:val="0"/>
        <w:numId w:val="1"/>
      </w:numPr>
      <w:adjustRightInd w:val="0"/>
      <w:spacing w:line="580" w:lineRule="atLeast"/>
      <w:jc w:val="center"/>
      <w:textAlignment w:val="baseline"/>
      <w:outlineLvl w:val="0"/>
    </w:pPr>
    <w:rPr>
      <w:rFonts w:eastAsia="华康简标题宋"/>
      <w:kern w:val="44"/>
      <w:sz w:val="36"/>
      <w:szCs w:val="20"/>
    </w:rPr>
  </w:style>
  <w:style w:type="paragraph" w:customStyle="1" w:styleId="6">
    <w:name w:val="标题 21"/>
    <w:basedOn w:val="1"/>
    <w:next w:val="1"/>
    <w:qFormat/>
    <w:uiPriority w:val="0"/>
    <w:pPr>
      <w:keepNext/>
      <w:keepLines/>
      <w:widowControl/>
      <w:numPr>
        <w:ilvl w:val="1"/>
        <w:numId w:val="1"/>
      </w:numPr>
      <w:adjustRightInd w:val="0"/>
      <w:spacing w:before="260" w:after="260" w:line="416" w:lineRule="atLeast"/>
      <w:textAlignment w:val="baseline"/>
      <w:outlineLvl w:val="1"/>
    </w:pPr>
    <w:rPr>
      <w:rFonts w:ascii="Arial" w:hAnsi="Arial" w:eastAsia="黑体"/>
      <w:b/>
      <w:kern w:val="0"/>
      <w:szCs w:val="20"/>
    </w:rPr>
  </w:style>
  <w:style w:type="paragraph" w:customStyle="1" w:styleId="7">
    <w:name w:val="标题 31"/>
    <w:basedOn w:val="1"/>
    <w:next w:val="1"/>
    <w:qFormat/>
    <w:uiPriority w:val="0"/>
    <w:pPr>
      <w:keepNext/>
      <w:keepLines/>
      <w:widowControl/>
      <w:numPr>
        <w:ilvl w:val="2"/>
        <w:numId w:val="1"/>
      </w:numPr>
      <w:adjustRightInd w:val="0"/>
      <w:spacing w:before="260" w:after="260" w:line="416" w:lineRule="atLeast"/>
      <w:textAlignment w:val="baseline"/>
      <w:outlineLvl w:val="2"/>
    </w:pPr>
    <w:rPr>
      <w:b/>
      <w:kern w:val="0"/>
      <w:szCs w:val="20"/>
    </w:rPr>
  </w:style>
  <w:style w:type="paragraph" w:customStyle="1" w:styleId="8">
    <w:name w:val="标题 41"/>
    <w:basedOn w:val="1"/>
    <w:next w:val="1"/>
    <w:qFormat/>
    <w:uiPriority w:val="0"/>
    <w:pPr>
      <w:keepNext/>
      <w:keepLines/>
      <w:widowControl/>
      <w:numPr>
        <w:ilvl w:val="3"/>
        <w:numId w:val="1"/>
      </w:numPr>
      <w:adjustRightInd w:val="0"/>
      <w:spacing w:before="280" w:after="290" w:line="376" w:lineRule="atLeast"/>
      <w:textAlignment w:val="baseline"/>
      <w:outlineLvl w:val="3"/>
    </w:pPr>
    <w:rPr>
      <w:rFonts w:ascii="Arial" w:hAnsi="Arial" w:eastAsia="黑体"/>
      <w:b/>
      <w:kern w:val="0"/>
      <w:sz w:val="28"/>
      <w:szCs w:val="20"/>
    </w:rPr>
  </w:style>
  <w:style w:type="paragraph" w:customStyle="1" w:styleId="9">
    <w:name w:val="标题 51"/>
    <w:basedOn w:val="1"/>
    <w:next w:val="1"/>
    <w:qFormat/>
    <w:uiPriority w:val="0"/>
    <w:pPr>
      <w:keepNext/>
      <w:keepLines/>
      <w:widowControl/>
      <w:numPr>
        <w:ilvl w:val="4"/>
        <w:numId w:val="1"/>
      </w:numPr>
      <w:adjustRightInd w:val="0"/>
      <w:spacing w:before="280" w:after="290" w:line="376" w:lineRule="atLeast"/>
      <w:textAlignment w:val="baseline"/>
      <w:outlineLvl w:val="4"/>
    </w:pPr>
    <w:rPr>
      <w:b/>
      <w:kern w:val="0"/>
      <w:sz w:val="28"/>
      <w:szCs w:val="20"/>
    </w:rPr>
  </w:style>
  <w:style w:type="paragraph" w:customStyle="1" w:styleId="10">
    <w:name w:val="标题 61"/>
    <w:basedOn w:val="1"/>
    <w:next w:val="1"/>
    <w:qFormat/>
    <w:uiPriority w:val="0"/>
    <w:pPr>
      <w:keepNext/>
      <w:keepLines/>
      <w:widowControl/>
      <w:numPr>
        <w:ilvl w:val="5"/>
        <w:numId w:val="1"/>
      </w:numPr>
      <w:adjustRightInd w:val="0"/>
      <w:spacing w:before="240" w:after="64" w:line="320" w:lineRule="atLeast"/>
      <w:textAlignment w:val="baseline"/>
      <w:outlineLvl w:val="5"/>
    </w:pPr>
    <w:rPr>
      <w:rFonts w:ascii="Arial" w:hAnsi="Arial" w:eastAsia="黑体"/>
      <w:b/>
      <w:kern w:val="0"/>
      <w:sz w:val="24"/>
      <w:szCs w:val="20"/>
    </w:rPr>
  </w:style>
  <w:style w:type="paragraph" w:customStyle="1" w:styleId="11">
    <w:name w:val="标题 71"/>
    <w:basedOn w:val="1"/>
    <w:next w:val="1"/>
    <w:qFormat/>
    <w:uiPriority w:val="0"/>
    <w:pPr>
      <w:keepNext/>
      <w:keepLines/>
      <w:widowControl/>
      <w:numPr>
        <w:ilvl w:val="6"/>
        <w:numId w:val="1"/>
      </w:numPr>
      <w:adjustRightInd w:val="0"/>
      <w:spacing w:before="240" w:after="64" w:line="320" w:lineRule="atLeast"/>
      <w:textAlignment w:val="baseline"/>
      <w:outlineLvl w:val="6"/>
    </w:pPr>
    <w:rPr>
      <w:b/>
      <w:kern w:val="0"/>
      <w:sz w:val="24"/>
      <w:szCs w:val="20"/>
    </w:rPr>
  </w:style>
  <w:style w:type="paragraph" w:customStyle="1" w:styleId="12">
    <w:name w:val="标题 81"/>
    <w:basedOn w:val="1"/>
    <w:next w:val="1"/>
    <w:qFormat/>
    <w:uiPriority w:val="0"/>
    <w:pPr>
      <w:keepNext/>
      <w:keepLines/>
      <w:widowControl/>
      <w:numPr>
        <w:ilvl w:val="7"/>
        <w:numId w:val="1"/>
      </w:numPr>
      <w:adjustRightInd w:val="0"/>
      <w:spacing w:before="240" w:after="64" w:line="320" w:lineRule="atLeast"/>
      <w:textAlignment w:val="baseline"/>
      <w:outlineLvl w:val="7"/>
    </w:pPr>
    <w:rPr>
      <w:rFonts w:ascii="Arial" w:hAnsi="Arial" w:eastAsia="黑体"/>
      <w:kern w:val="0"/>
      <w:sz w:val="24"/>
      <w:szCs w:val="20"/>
    </w:rPr>
  </w:style>
  <w:style w:type="paragraph" w:customStyle="1" w:styleId="13">
    <w:name w:val="标题 91"/>
    <w:basedOn w:val="1"/>
    <w:next w:val="1"/>
    <w:qFormat/>
    <w:uiPriority w:val="0"/>
    <w:pPr>
      <w:keepNext/>
      <w:keepLines/>
      <w:widowControl/>
      <w:numPr>
        <w:ilvl w:val="8"/>
        <w:numId w:val="1"/>
      </w:numPr>
      <w:adjustRightInd w:val="0"/>
      <w:spacing w:before="240" w:after="64" w:line="320" w:lineRule="atLeast"/>
      <w:textAlignment w:val="baseline"/>
      <w:outlineLvl w:val="8"/>
    </w:pPr>
    <w:rPr>
      <w:rFonts w:ascii="Arial" w:hAnsi="Arial" w:eastAsia="黑体"/>
      <w:kern w:val="0"/>
      <w:sz w:val="21"/>
      <w:szCs w:val="20"/>
    </w:rPr>
  </w:style>
  <w:style w:type="character" w:customStyle="1" w:styleId="14">
    <w:name w:val="默认段落字体1"/>
    <w:semiHidden/>
    <w:uiPriority w:val="0"/>
  </w:style>
  <w:style w:type="table" w:customStyle="1" w:styleId="15">
    <w:name w:val="普通表格1"/>
    <w:semiHidden/>
    <w:uiPriority w:val="0"/>
    <w:tblPr>
      <w:tblCellMar>
        <w:top w:w="0" w:type="dxa"/>
        <w:left w:w="108" w:type="dxa"/>
        <w:bottom w:w="0" w:type="dxa"/>
        <w:right w:w="108" w:type="dxa"/>
      </w:tblCellMar>
    </w:tblPr>
  </w:style>
  <w:style w:type="paragraph" w:customStyle="1" w:styleId="16">
    <w:name w:val="正文文本1"/>
    <w:basedOn w:val="1"/>
    <w:qFormat/>
    <w:uiPriority w:val="0"/>
    <w:pPr>
      <w:jc w:val="center"/>
    </w:pPr>
    <w:rPr>
      <w:b/>
      <w:bCs/>
    </w:rPr>
  </w:style>
  <w:style w:type="paragraph" w:customStyle="1" w:styleId="17">
    <w:name w:val="正文缩进1"/>
    <w:basedOn w:val="1"/>
    <w:qFormat/>
    <w:uiPriority w:val="0"/>
    <w:pPr>
      <w:ind w:firstLine="420" w:firstLineChars="200"/>
    </w:pPr>
  </w:style>
  <w:style w:type="paragraph" w:customStyle="1" w:styleId="18">
    <w:name w:val="正文文本缩进1"/>
    <w:basedOn w:val="1"/>
    <w:uiPriority w:val="0"/>
    <w:pPr>
      <w:topLinePunct/>
      <w:autoSpaceDE w:val="0"/>
      <w:autoSpaceDN w:val="0"/>
      <w:spacing w:line="540" w:lineRule="atLeast"/>
      <w:ind w:firstLine="600"/>
    </w:pPr>
    <w:rPr>
      <w:rFonts w:ascii="华康简标题宋"/>
      <w:sz w:val="30"/>
    </w:rPr>
  </w:style>
  <w:style w:type="paragraph" w:customStyle="1" w:styleId="19">
    <w:name w:val="纯文本1"/>
    <w:basedOn w:val="1"/>
    <w:qFormat/>
    <w:uiPriority w:val="0"/>
    <w:rPr>
      <w:rFonts w:ascii="宋体" w:hAnsi="Times New Roman" w:eastAsia="宋体" w:cs="Times New Roman"/>
      <w:sz w:val="30"/>
      <w:szCs w:val="21"/>
      <w:lang w:bidi="ar-SA"/>
    </w:rPr>
  </w:style>
  <w:style w:type="paragraph" w:customStyle="1" w:styleId="20">
    <w:name w:val="日期1"/>
    <w:basedOn w:val="1"/>
    <w:next w:val="1"/>
    <w:uiPriority w:val="0"/>
    <w:pPr>
      <w:ind w:left="100" w:leftChars="2500"/>
    </w:pPr>
  </w:style>
  <w:style w:type="paragraph" w:customStyle="1" w:styleId="21">
    <w:name w:val="正文文本缩进 21"/>
    <w:basedOn w:val="1"/>
    <w:uiPriority w:val="0"/>
    <w:pPr>
      <w:ind w:firstLine="620" w:firstLineChars="200"/>
    </w:pPr>
    <w:rPr>
      <w:sz w:val="31"/>
    </w:rPr>
  </w:style>
  <w:style w:type="paragraph" w:customStyle="1" w:styleId="22">
    <w:name w:val="批注框文本1"/>
    <w:basedOn w:val="1"/>
    <w:semiHidden/>
    <w:uiPriority w:val="0"/>
    <w:rPr>
      <w:sz w:val="18"/>
      <w:szCs w:val="18"/>
    </w:rPr>
  </w:style>
  <w:style w:type="paragraph" w:customStyle="1" w:styleId="23">
    <w:name w:val="页脚1"/>
    <w:basedOn w:val="1"/>
    <w:qFormat/>
    <w:uiPriority w:val="0"/>
    <w:pPr>
      <w:tabs>
        <w:tab w:val="center" w:leader="hyphen" w:pos="4153"/>
        <w:tab w:val="right" w:pos="8306"/>
      </w:tabs>
      <w:snapToGrid w:val="0"/>
      <w:jc w:val="right"/>
    </w:pPr>
    <w:rPr>
      <w:sz w:val="28"/>
      <w:szCs w:val="18"/>
    </w:rPr>
  </w:style>
  <w:style w:type="paragraph" w:customStyle="1" w:styleId="24">
    <w:name w:val="页眉1"/>
    <w:basedOn w:val="1"/>
    <w:uiPriority w:val="0"/>
    <w:pPr>
      <w:tabs>
        <w:tab w:val="center" w:pos="4153"/>
        <w:tab w:val="right" w:pos="8306"/>
      </w:tabs>
      <w:snapToGrid w:val="0"/>
      <w:jc w:val="center"/>
    </w:pPr>
    <w:rPr>
      <w:sz w:val="18"/>
      <w:szCs w:val="18"/>
    </w:rPr>
  </w:style>
  <w:style w:type="paragraph" w:customStyle="1" w:styleId="25">
    <w:name w:val="正文文本 21"/>
    <w:basedOn w:val="1"/>
    <w:uiPriority w:val="0"/>
    <w:pPr>
      <w:widowControl/>
      <w:jc w:val="center"/>
    </w:pPr>
    <w:rPr>
      <w:rFonts w:eastAsia="华康简标题宋"/>
      <w:color w:val="FF0000"/>
      <w:sz w:val="42"/>
      <w:szCs w:val="23"/>
    </w:rPr>
  </w:style>
  <w:style w:type="paragraph" w:customStyle="1" w:styleId="26">
    <w:name w:val="标题1"/>
    <w:basedOn w:val="1"/>
    <w:qFormat/>
    <w:uiPriority w:val="0"/>
    <w:pPr>
      <w:spacing w:before="240" w:after="60"/>
      <w:jc w:val="center"/>
      <w:outlineLvl w:val="0"/>
    </w:pPr>
    <w:rPr>
      <w:rFonts w:eastAsia="华康简标题宋" w:cs="Arial"/>
      <w:bCs/>
      <w:sz w:val="44"/>
      <w:szCs w:val="32"/>
    </w:rPr>
  </w:style>
  <w:style w:type="paragraph" w:customStyle="1" w:styleId="27">
    <w:name w:val="正文首行缩进1"/>
    <w:basedOn w:val="16"/>
    <w:qFormat/>
    <w:uiPriority w:val="99"/>
    <w:pPr>
      <w:ind w:firstLine="100" w:firstLineChars="100"/>
      <w:jc w:val="left"/>
    </w:pPr>
    <w:rPr>
      <w:rFonts w:ascii="Times New Roman" w:hAnsi="Times New Roman"/>
    </w:rPr>
  </w:style>
  <w:style w:type="character" w:customStyle="1" w:styleId="28">
    <w:name w:val="页码1"/>
    <w:basedOn w:val="14"/>
    <w:uiPriority w:val="0"/>
    <w:rPr>
      <w:rFonts w:ascii="Times New Roman" w:hAnsi="Times New Roman" w:eastAsia="仿宋_GB2312"/>
      <w:sz w:val="28"/>
      <w:lang w:eastAsia="zh-CN"/>
    </w:rPr>
  </w:style>
  <w:style w:type="character" w:customStyle="1" w:styleId="29">
    <w:name w:val="超链接1"/>
    <w:basedOn w:val="14"/>
    <w:uiPriority w:val="0"/>
    <w:rPr>
      <w:color w:val="0000FF"/>
      <w:u w:val="single"/>
    </w:rPr>
  </w:style>
  <w:style w:type="paragraph" w:customStyle="1" w:styleId="30">
    <w:name w:val="Char"/>
    <w:basedOn w:val="1"/>
    <w:uiPriority w:val="0"/>
    <w:pPr>
      <w:widowControl/>
      <w:spacing w:after="160" w:line="240" w:lineRule="exact"/>
      <w:jc w:val="left"/>
    </w:pPr>
  </w:style>
  <w:style w:type="paragraph" w:customStyle="1" w:styleId="31">
    <w:name w:val="正文 New New"/>
    <w:uiPriority w:val="0"/>
    <w:pPr>
      <w:widowControl w:val="0"/>
      <w:jc w:val="both"/>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E:\001&#24066;&#25919;&#24220;&#20844;&#25991;&#26684;&#24335;&#27169;&#26495;\&#19996;&#24220;&#20989;&#27169;&#26495;.do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东府函模板</Template>
  <Company>dgcc</Company>
  <Pages>5</Pages>
  <Words>43</Words>
  <Characters>248</Characters>
  <Lines>2</Lines>
  <Paragraphs>1</Paragraphs>
  <TotalTime>2</TotalTime>
  <ScaleCrop>false</ScaleCrop>
  <LinksUpToDate>false</LinksUpToDate>
  <CharactersWithSpaces>290</CharactersWithSpaces>
  <Application>WPS Office_12.8.2.18205_F1E327BC-269C-435d-A152-05C5408002CA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2016-07-17T03:04:00Z</dcterms:created>
  <dc:creator>yangl</dc:creator>
  <cp:lastModifiedBy>乖</cp:lastModifiedBy>
  <cp:lastPrinted>2016-06-25T01:42:00Z</cp:lastPrinted>
  <dcterms:modified xsi:type="dcterms:W3CDTF">2026-07-27T01:25:51Z</dcterms:modified>
  <dc:title>东莞市人民政府办公室</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2052-12.8.2.18205</vt:lpwstr>
  </property>
  <property fmtid="{D5CDD505-2E9C-101B-9397-08002B2CF9AE}" pid="3" name="ICV">
    <vt:lpwstr>A728D5B0E79661B93233BC67003E42F2</vt:lpwstr>
  </property>
</Properties>
</file>