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评分标准</w:t>
      </w:r>
    </w:p>
    <w:p>
      <w:pPr>
        <w:ind w:firstLine="640" w:firstLineChars="200"/>
      </w:pPr>
      <w:r>
        <w:rPr>
          <w:rFonts w:hint="eastAsia"/>
        </w:rPr>
        <w:t>采购人成立评审小组，对供应商响应文件进行评审，得分为评审小组成员评分的算术平均分，分值保</w:t>
      </w:r>
      <w:bookmarkStart w:id="2" w:name="_GoBack"/>
      <w:bookmarkEnd w:id="2"/>
      <w:r>
        <w:rPr>
          <w:rFonts w:hint="eastAsia"/>
        </w:rPr>
        <w:t>留小数点后两位。</w:t>
      </w:r>
    </w:p>
    <w:tbl>
      <w:tblPr>
        <w:tblStyle w:val="3"/>
        <w:tblpPr w:leftFromText="180" w:rightFromText="180" w:vertAnchor="text" w:horzAnchor="page" w:tblpX="1558" w:tblpY="47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0"/>
        <w:gridCol w:w="1030"/>
        <w:gridCol w:w="63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5" w:hRule="atLeast"/>
        </w:trPr>
        <w:tc>
          <w:tcPr>
            <w:tcW w:w="1196" w:type="dxa"/>
            <w:vAlign w:val="center"/>
          </w:tcPr>
          <w:p>
            <w:pPr>
              <w:pStyle w:val="5"/>
              <w:spacing w:line="440" w:lineRule="exact"/>
              <w:jc w:val="center"/>
              <w:rPr>
                <w:rFonts w:hint="default" w:ascii="仿宋_GB2312" w:eastAsia="仿宋_GB2312"/>
                <w:b/>
                <w:bCs/>
                <w:sz w:val="24"/>
                <w:szCs w:val="24"/>
              </w:rPr>
            </w:pPr>
            <w:r>
              <w:rPr>
                <w:rFonts w:ascii="仿宋_GB2312" w:eastAsia="仿宋_GB2312"/>
                <w:b/>
                <w:bCs/>
                <w:sz w:val="24"/>
                <w:szCs w:val="24"/>
              </w:rPr>
              <w:t>评审因素</w:t>
            </w:r>
          </w:p>
        </w:tc>
        <w:tc>
          <w:tcPr>
            <w:tcW w:w="7846" w:type="dxa"/>
            <w:gridSpan w:val="2"/>
            <w:vAlign w:val="center"/>
          </w:tcPr>
          <w:p>
            <w:pPr>
              <w:pStyle w:val="5"/>
              <w:spacing w:line="440" w:lineRule="exact"/>
              <w:jc w:val="center"/>
              <w:rPr>
                <w:rFonts w:hint="default" w:ascii="仿宋_GB2312" w:eastAsia="仿宋_GB2312"/>
                <w:b/>
                <w:bCs/>
                <w:sz w:val="24"/>
                <w:szCs w:val="24"/>
              </w:rPr>
            </w:pPr>
            <w:r>
              <w:rPr>
                <w:rFonts w:ascii="仿宋_GB2312" w:eastAsia="仿宋_GB2312"/>
                <w:b/>
                <w:bCs/>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tcPr>
          <w:p>
            <w:pPr>
              <w:pStyle w:val="5"/>
              <w:spacing w:line="440" w:lineRule="exact"/>
              <w:jc w:val="center"/>
              <w:rPr>
                <w:rFonts w:hint="default" w:ascii="仿宋_GB2312" w:eastAsia="仿宋_GB2312"/>
                <w:sz w:val="21"/>
                <w:szCs w:val="21"/>
              </w:rPr>
            </w:pPr>
            <w:r>
              <w:rPr>
                <w:rFonts w:ascii="仿宋_GB2312" w:eastAsia="仿宋_GB2312"/>
                <w:sz w:val="21"/>
                <w:szCs w:val="21"/>
              </w:rPr>
              <w:t>分值构成</w:t>
            </w:r>
          </w:p>
        </w:tc>
        <w:tc>
          <w:tcPr>
            <w:tcW w:w="7846" w:type="dxa"/>
            <w:gridSpan w:val="2"/>
          </w:tcPr>
          <w:p>
            <w:pPr>
              <w:pStyle w:val="5"/>
              <w:spacing w:line="440" w:lineRule="exact"/>
              <w:rPr>
                <w:rFonts w:hint="default" w:ascii="仿宋_GB2312" w:eastAsia="仿宋_GB2312"/>
                <w:sz w:val="21"/>
                <w:szCs w:val="21"/>
              </w:rPr>
            </w:pPr>
            <w:r>
              <w:rPr>
                <w:rFonts w:ascii="仿宋_GB2312" w:eastAsia="仿宋_GB2312"/>
                <w:sz w:val="21"/>
                <w:szCs w:val="21"/>
              </w:rPr>
              <w:t>技术部分</w:t>
            </w:r>
            <w:r>
              <w:rPr>
                <w:rFonts w:ascii="仿宋_GB2312" w:eastAsia="仿宋_GB2312"/>
                <w:sz w:val="21"/>
                <w:szCs w:val="21"/>
                <w:lang w:eastAsia="zh-CN"/>
              </w:rPr>
              <w:t>50.0</w:t>
            </w:r>
            <w:r>
              <w:rPr>
                <w:rFonts w:ascii="仿宋_GB2312" w:eastAsia="仿宋_GB2312"/>
                <w:sz w:val="21"/>
                <w:szCs w:val="21"/>
              </w:rPr>
              <w:t>分</w:t>
            </w:r>
          </w:p>
          <w:p>
            <w:pPr>
              <w:pStyle w:val="5"/>
              <w:spacing w:line="440" w:lineRule="exact"/>
              <w:rPr>
                <w:rFonts w:hint="default" w:ascii="仿宋_GB2312" w:eastAsia="仿宋_GB2312"/>
                <w:sz w:val="21"/>
                <w:szCs w:val="21"/>
                <w:lang w:eastAsia="zh-CN"/>
              </w:rPr>
            </w:pPr>
            <w:r>
              <w:rPr>
                <w:rFonts w:ascii="仿宋_GB2312" w:eastAsia="仿宋_GB2312"/>
                <w:sz w:val="21"/>
                <w:szCs w:val="21"/>
                <w:lang w:eastAsia="zh-CN"/>
              </w:rPr>
              <w:t>商务部分40.0分</w:t>
            </w:r>
          </w:p>
          <w:p>
            <w:pPr>
              <w:pStyle w:val="5"/>
              <w:spacing w:line="440" w:lineRule="exact"/>
              <w:rPr>
                <w:rFonts w:hint="default" w:ascii="仿宋_GB2312" w:eastAsia="仿宋_GB2312"/>
                <w:sz w:val="21"/>
                <w:szCs w:val="21"/>
              </w:rPr>
            </w:pPr>
            <w:r>
              <w:rPr>
                <w:rFonts w:ascii="仿宋_GB2312" w:eastAsia="仿宋_GB2312"/>
                <w:sz w:val="21"/>
                <w:szCs w:val="21"/>
              </w:rPr>
              <w:t>报价得分</w:t>
            </w:r>
            <w:r>
              <w:rPr>
                <w:rFonts w:ascii="仿宋_GB2312" w:eastAsia="仿宋_GB2312"/>
                <w:sz w:val="21"/>
                <w:szCs w:val="21"/>
                <w:lang w:eastAsia="zh-CN"/>
              </w:rPr>
              <w:t>10</w:t>
            </w:r>
            <w:r>
              <w:rPr>
                <w:rFonts w:ascii="仿宋_GB2312" w:eastAsia="仿宋_GB2312"/>
                <w:sz w:val="21"/>
                <w:szCs w:val="21"/>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vMerge w:val="restart"/>
            <w:vAlign w:val="center"/>
          </w:tcPr>
          <w:p>
            <w:pPr>
              <w:pStyle w:val="5"/>
              <w:spacing w:line="440" w:lineRule="exact"/>
              <w:jc w:val="center"/>
              <w:rPr>
                <w:rFonts w:hint="default" w:ascii="仿宋_GB2312" w:eastAsia="仿宋_GB2312"/>
                <w:sz w:val="21"/>
                <w:szCs w:val="21"/>
              </w:rPr>
            </w:pPr>
            <w:r>
              <w:rPr>
                <w:rFonts w:ascii="仿宋_GB2312" w:eastAsia="仿宋_GB2312"/>
                <w:sz w:val="21"/>
                <w:szCs w:val="21"/>
              </w:rPr>
              <w:t>技术部分</w:t>
            </w:r>
          </w:p>
          <w:p>
            <w:pPr>
              <w:pStyle w:val="5"/>
              <w:spacing w:line="440" w:lineRule="exact"/>
              <w:jc w:val="center"/>
              <w:rPr>
                <w:rFonts w:hint="default" w:ascii="仿宋_GB2312" w:eastAsia="仿宋_GB2312"/>
                <w:sz w:val="21"/>
                <w:szCs w:val="21"/>
                <w:lang w:eastAsia="zh-CN"/>
              </w:rPr>
            </w:pPr>
            <w:r>
              <w:rPr>
                <w:rFonts w:ascii="仿宋_GB2312" w:eastAsia="仿宋_GB2312"/>
                <w:sz w:val="21"/>
                <w:szCs w:val="21"/>
                <w:lang w:eastAsia="zh-CN"/>
              </w:rPr>
              <w:t>（50.0分）</w:t>
            </w:r>
          </w:p>
        </w:tc>
        <w:tc>
          <w:tcPr>
            <w:tcW w:w="1063" w:type="dxa"/>
          </w:tcPr>
          <w:p>
            <w:pPr>
              <w:pStyle w:val="5"/>
              <w:spacing w:line="440" w:lineRule="exact"/>
              <w:rPr>
                <w:rFonts w:hint="default" w:ascii="仿宋_GB2312" w:eastAsia="仿宋_GB2312"/>
                <w:sz w:val="21"/>
                <w:szCs w:val="21"/>
              </w:rPr>
            </w:pPr>
            <w:r>
              <w:rPr>
                <w:rFonts w:ascii="仿宋_GB2312" w:eastAsia="仿宋_GB2312"/>
                <w:sz w:val="21"/>
                <w:szCs w:val="21"/>
              </w:rPr>
              <w:t>项目理解方案  (10.0分)</w:t>
            </w:r>
          </w:p>
        </w:tc>
        <w:tc>
          <w:tcPr>
            <w:tcW w:w="6783" w:type="dxa"/>
          </w:tcPr>
          <w:p>
            <w:pPr>
              <w:pStyle w:val="5"/>
              <w:spacing w:line="440" w:lineRule="exact"/>
              <w:rPr>
                <w:rFonts w:hint="default" w:ascii="仿宋_GB2312" w:eastAsia="仿宋_GB2312"/>
                <w:sz w:val="21"/>
                <w:szCs w:val="21"/>
              </w:rPr>
            </w:pPr>
            <w:r>
              <w:rPr>
                <w:rFonts w:ascii="仿宋_GB2312" w:eastAsia="仿宋_GB2312"/>
              </w:rPr>
              <w:t>根据投标人提供的对本项目的理解方案（包括但不限于对项目背景、目标、信息化现状、项目服务内容及要求的理解，对相关系统的了解程度，对项目的重点难点、关键点的分析）进行评审：①理解深入，内容全面，阐述清晰、详实，完全满足并优于采购需求的得10分； ②理解较深入，内容较全面，阐述基本清晰，完全满足采购需求的得7分； ③理解情况一般，内容不够全面，阐述一般，部分满足采购需求的得</w:t>
            </w:r>
            <w:r>
              <w:rPr>
                <w:rFonts w:ascii="仿宋_GB2312" w:eastAsia="仿宋_GB2312"/>
                <w:lang w:eastAsia="zh-CN"/>
              </w:rPr>
              <w:t>4</w:t>
            </w:r>
            <w:r>
              <w:rPr>
                <w:rFonts w:ascii="仿宋_GB2312" w:eastAsia="仿宋_GB2312"/>
              </w:rPr>
              <w:t>分； ④对项目理解较差，内容差距较大，叙述不全面的，不满足采购需求的得</w:t>
            </w:r>
            <w:r>
              <w:rPr>
                <w:rFonts w:ascii="仿宋_GB2312" w:eastAsia="仿宋_GB2312"/>
                <w:lang w:eastAsia="zh-CN"/>
              </w:rPr>
              <w:t>1</w:t>
            </w:r>
            <w:r>
              <w:rPr>
                <w:rFonts w:ascii="仿宋_GB2312" w:eastAsia="仿宋_GB2312"/>
              </w:rPr>
              <w:t>分； 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vMerge w:val="continue"/>
          </w:tcPr>
          <w:p>
            <w:pPr>
              <w:spacing w:line="440" w:lineRule="exact"/>
              <w:rPr>
                <w:rFonts w:ascii="仿宋_GB2312"/>
                <w:sz w:val="21"/>
                <w:szCs w:val="21"/>
              </w:rPr>
            </w:pPr>
          </w:p>
        </w:tc>
        <w:tc>
          <w:tcPr>
            <w:tcW w:w="1063" w:type="dxa"/>
            <w:vMerge w:val="restart"/>
          </w:tcPr>
          <w:p>
            <w:pPr>
              <w:pStyle w:val="5"/>
              <w:spacing w:line="440" w:lineRule="exact"/>
              <w:rPr>
                <w:rFonts w:hint="default" w:ascii="仿宋_GB2312" w:eastAsia="仿宋_GB2312"/>
                <w:sz w:val="21"/>
                <w:szCs w:val="21"/>
              </w:rPr>
            </w:pPr>
            <w:r>
              <w:rPr>
                <w:rFonts w:ascii="仿宋_GB2312" w:eastAsia="仿宋_GB2312"/>
                <w:sz w:val="21"/>
                <w:szCs w:val="21"/>
              </w:rPr>
              <w:t>设计方案 (</w:t>
            </w:r>
            <w:r>
              <w:rPr>
                <w:rFonts w:ascii="仿宋_GB2312" w:eastAsia="仿宋_GB2312"/>
                <w:sz w:val="21"/>
                <w:szCs w:val="21"/>
                <w:lang w:eastAsia="zh-CN"/>
              </w:rPr>
              <w:t>20.0</w:t>
            </w:r>
            <w:r>
              <w:rPr>
                <w:rFonts w:ascii="仿宋_GB2312" w:eastAsia="仿宋_GB2312"/>
                <w:sz w:val="21"/>
                <w:szCs w:val="21"/>
              </w:rPr>
              <w:t>分)</w:t>
            </w:r>
          </w:p>
        </w:tc>
        <w:tc>
          <w:tcPr>
            <w:tcW w:w="6783" w:type="dxa"/>
          </w:tcPr>
          <w:p>
            <w:pPr>
              <w:pStyle w:val="5"/>
              <w:spacing w:line="440" w:lineRule="exact"/>
              <w:rPr>
                <w:rFonts w:hint="default" w:ascii="仿宋_GB2312" w:eastAsia="仿宋_GB2312"/>
                <w:sz w:val="21"/>
                <w:szCs w:val="21"/>
              </w:rPr>
            </w:pPr>
            <w:r>
              <w:rPr>
                <w:rFonts w:ascii="仿宋_GB2312" w:eastAsia="仿宋_GB2312"/>
                <w:sz w:val="21"/>
                <w:szCs w:val="21"/>
              </w:rPr>
              <w:t>根据投标人提供的总体设计方案（功能结构设计、关键流程、技术架构、数据库模型、系统部署等）的合理性、完整性等方面进行综合评审：</w:t>
            </w:r>
            <w:r>
              <w:rPr>
                <w:rFonts w:ascii="仿宋_GB2312" w:eastAsia="仿宋_GB2312"/>
              </w:rPr>
              <w:t>①</w:t>
            </w:r>
            <w:r>
              <w:rPr>
                <w:rFonts w:ascii="仿宋_GB2312" w:eastAsia="仿宋_GB2312"/>
                <w:sz w:val="21"/>
                <w:szCs w:val="21"/>
              </w:rPr>
              <w:t>总体设计方案完整详细且合理性强的，得</w:t>
            </w:r>
            <w:r>
              <w:rPr>
                <w:rFonts w:ascii="仿宋_GB2312" w:eastAsia="仿宋_GB2312"/>
                <w:sz w:val="21"/>
                <w:szCs w:val="21"/>
                <w:lang w:eastAsia="zh-CN"/>
              </w:rPr>
              <w:t>10</w:t>
            </w:r>
            <w:r>
              <w:rPr>
                <w:rFonts w:ascii="仿宋_GB2312" w:eastAsia="仿宋_GB2312"/>
                <w:sz w:val="21"/>
                <w:szCs w:val="21"/>
              </w:rPr>
              <w:t>分；</w:t>
            </w:r>
            <w:r>
              <w:rPr>
                <w:rFonts w:ascii="仿宋_GB2312" w:eastAsia="仿宋_GB2312"/>
              </w:rPr>
              <w:t>②</w:t>
            </w:r>
            <w:r>
              <w:rPr>
                <w:rFonts w:ascii="仿宋_GB2312" w:eastAsia="仿宋_GB2312"/>
                <w:sz w:val="21"/>
                <w:szCs w:val="21"/>
              </w:rPr>
              <w:t>总体设计方案较完整且合理性较强的，得</w:t>
            </w:r>
            <w:r>
              <w:rPr>
                <w:rFonts w:ascii="仿宋_GB2312" w:eastAsia="仿宋_GB2312"/>
                <w:sz w:val="21"/>
                <w:szCs w:val="21"/>
                <w:lang w:eastAsia="zh-CN"/>
              </w:rPr>
              <w:t>7</w:t>
            </w:r>
            <w:r>
              <w:rPr>
                <w:rFonts w:ascii="仿宋_GB2312" w:eastAsia="仿宋_GB2312"/>
                <w:sz w:val="21"/>
                <w:szCs w:val="21"/>
              </w:rPr>
              <w:t>分；</w:t>
            </w:r>
            <w:r>
              <w:rPr>
                <w:rFonts w:ascii="仿宋_GB2312" w:eastAsia="仿宋_GB2312"/>
              </w:rPr>
              <w:t xml:space="preserve"> ③</w:t>
            </w:r>
            <w:r>
              <w:rPr>
                <w:rFonts w:ascii="仿宋_GB2312" w:eastAsia="仿宋_GB2312"/>
                <w:sz w:val="21"/>
                <w:szCs w:val="21"/>
              </w:rPr>
              <w:t>总体设计方案基本完整的且合理性一般的，得</w:t>
            </w:r>
            <w:r>
              <w:rPr>
                <w:rFonts w:ascii="仿宋_GB2312" w:eastAsia="仿宋_GB2312"/>
                <w:sz w:val="21"/>
                <w:szCs w:val="21"/>
                <w:lang w:eastAsia="zh-CN"/>
              </w:rPr>
              <w:t>4</w:t>
            </w:r>
            <w:r>
              <w:rPr>
                <w:rFonts w:ascii="仿宋_GB2312" w:eastAsia="仿宋_GB2312"/>
                <w:sz w:val="21"/>
                <w:szCs w:val="21"/>
              </w:rPr>
              <w:t>分；</w:t>
            </w:r>
            <w:r>
              <w:rPr>
                <w:rFonts w:ascii="仿宋_GB2312" w:eastAsia="仿宋_GB2312"/>
              </w:rPr>
              <w:t>④</w:t>
            </w:r>
            <w:r>
              <w:rPr>
                <w:rFonts w:ascii="仿宋_GB2312" w:eastAsia="仿宋_GB2312"/>
                <w:sz w:val="21"/>
                <w:szCs w:val="21"/>
              </w:rPr>
              <w:t>总体设计方案不完整的且合理性差的，得1分；未提供对应方案不得分。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vMerge w:val="continue"/>
          </w:tcPr>
          <w:p>
            <w:pPr>
              <w:spacing w:line="440" w:lineRule="exact"/>
              <w:rPr>
                <w:rFonts w:ascii="仿宋_GB2312"/>
                <w:sz w:val="21"/>
                <w:szCs w:val="21"/>
              </w:rPr>
            </w:pPr>
          </w:p>
        </w:tc>
        <w:tc>
          <w:tcPr>
            <w:tcW w:w="1063" w:type="dxa"/>
            <w:vMerge w:val="continue"/>
            <w:shd w:val="clear" w:color="auto" w:fill="auto"/>
          </w:tcPr>
          <w:p>
            <w:pPr>
              <w:pStyle w:val="5"/>
              <w:spacing w:line="440" w:lineRule="exact"/>
              <w:rPr>
                <w:rFonts w:hint="default" w:ascii="仿宋_GB2312" w:eastAsia="仿宋_GB2312"/>
                <w:sz w:val="21"/>
                <w:szCs w:val="21"/>
              </w:rPr>
            </w:pPr>
          </w:p>
        </w:tc>
        <w:tc>
          <w:tcPr>
            <w:tcW w:w="6783" w:type="dxa"/>
            <w:shd w:val="clear" w:color="auto" w:fill="auto"/>
          </w:tcPr>
          <w:p>
            <w:pPr>
              <w:pStyle w:val="5"/>
              <w:spacing w:line="440" w:lineRule="exact"/>
              <w:rPr>
                <w:rFonts w:hint="default" w:ascii="仿宋_GB2312" w:eastAsia="仿宋_GB2312"/>
                <w:sz w:val="21"/>
                <w:szCs w:val="21"/>
              </w:rPr>
            </w:pPr>
            <w:r>
              <w:rPr>
                <w:rFonts w:ascii="仿宋_GB2312" w:eastAsia="仿宋_GB2312"/>
                <w:sz w:val="21"/>
                <w:szCs w:val="21"/>
              </w:rPr>
              <w:t>根据投标人提供的详细设计方案中各项功能详细设计的完整性、可行性、详细的功能描述等方面进行综合评审：</w:t>
            </w:r>
            <w:r>
              <w:rPr>
                <w:rFonts w:ascii="仿宋_GB2312" w:eastAsia="仿宋_GB2312"/>
              </w:rPr>
              <w:t>①</w:t>
            </w:r>
            <w:r>
              <w:rPr>
                <w:rFonts w:ascii="仿宋_GB2312" w:eastAsia="仿宋_GB2312"/>
                <w:sz w:val="21"/>
                <w:szCs w:val="21"/>
              </w:rPr>
              <w:t>各项功能详细设计方案完整详细且可行性强的，得</w:t>
            </w:r>
            <w:r>
              <w:rPr>
                <w:rFonts w:ascii="仿宋_GB2312" w:eastAsia="仿宋_GB2312"/>
                <w:sz w:val="21"/>
                <w:szCs w:val="21"/>
                <w:lang w:eastAsia="zh-CN"/>
              </w:rPr>
              <w:t>10</w:t>
            </w:r>
            <w:r>
              <w:rPr>
                <w:rFonts w:ascii="仿宋_GB2312" w:eastAsia="仿宋_GB2312"/>
                <w:sz w:val="21"/>
                <w:szCs w:val="21"/>
              </w:rPr>
              <w:t>分；</w:t>
            </w:r>
            <w:r>
              <w:rPr>
                <w:rFonts w:ascii="仿宋_GB2312" w:eastAsia="仿宋_GB2312"/>
              </w:rPr>
              <w:t>②</w:t>
            </w:r>
            <w:r>
              <w:rPr>
                <w:rFonts w:ascii="仿宋_GB2312" w:eastAsia="仿宋_GB2312"/>
                <w:sz w:val="21"/>
                <w:szCs w:val="21"/>
              </w:rPr>
              <w:t>各项功能详细设计方案基本完整且可行性较强的，得</w:t>
            </w:r>
            <w:r>
              <w:rPr>
                <w:rFonts w:ascii="仿宋_GB2312" w:eastAsia="仿宋_GB2312"/>
                <w:sz w:val="21"/>
                <w:szCs w:val="21"/>
                <w:lang w:eastAsia="zh-CN"/>
              </w:rPr>
              <w:t>7</w:t>
            </w:r>
            <w:r>
              <w:rPr>
                <w:rFonts w:ascii="仿宋_GB2312" w:eastAsia="仿宋_GB2312"/>
                <w:sz w:val="21"/>
                <w:szCs w:val="21"/>
              </w:rPr>
              <w:t>分；</w:t>
            </w:r>
            <w:r>
              <w:rPr>
                <w:rFonts w:ascii="仿宋_GB2312" w:eastAsia="仿宋_GB2312"/>
              </w:rPr>
              <w:t>③</w:t>
            </w:r>
            <w:r>
              <w:rPr>
                <w:rFonts w:ascii="仿宋_GB2312" w:eastAsia="仿宋_GB2312"/>
                <w:sz w:val="21"/>
                <w:szCs w:val="21"/>
              </w:rPr>
              <w:t>各项功能详细设计方案完整度一般，可行性一般的，得</w:t>
            </w:r>
            <w:r>
              <w:rPr>
                <w:rFonts w:ascii="仿宋_GB2312" w:eastAsia="仿宋_GB2312"/>
                <w:sz w:val="21"/>
                <w:szCs w:val="21"/>
                <w:lang w:eastAsia="zh-CN"/>
              </w:rPr>
              <w:t>4</w:t>
            </w:r>
            <w:r>
              <w:rPr>
                <w:rFonts w:ascii="仿宋_GB2312" w:eastAsia="仿宋_GB2312"/>
                <w:sz w:val="21"/>
                <w:szCs w:val="21"/>
              </w:rPr>
              <w:t>分；</w:t>
            </w:r>
            <w:r>
              <w:rPr>
                <w:rFonts w:ascii="仿宋_GB2312" w:eastAsia="仿宋_GB2312"/>
              </w:rPr>
              <w:t>④</w:t>
            </w:r>
            <w:r>
              <w:rPr>
                <w:rFonts w:ascii="仿宋_GB2312" w:eastAsia="仿宋_GB2312"/>
                <w:sz w:val="21"/>
                <w:szCs w:val="21"/>
              </w:rPr>
              <w:t>各项功能详细设计方案不完整，可行性差的，得1分；</w:t>
            </w:r>
          </w:p>
          <w:p>
            <w:pPr>
              <w:pStyle w:val="5"/>
              <w:spacing w:line="440" w:lineRule="exact"/>
              <w:rPr>
                <w:rFonts w:hint="default" w:ascii="仿宋_GB2312" w:eastAsia="仿宋_GB2312"/>
                <w:sz w:val="21"/>
                <w:szCs w:val="21"/>
              </w:rPr>
            </w:pPr>
            <w:r>
              <w:rPr>
                <w:rFonts w:ascii="仿宋_GB2312" w:eastAsia="仿宋_GB2312"/>
                <w:sz w:val="21"/>
                <w:szCs w:val="21"/>
              </w:rPr>
              <w:t>未提供对应方案得不得分。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vMerge w:val="continue"/>
          </w:tcPr>
          <w:p>
            <w:pPr>
              <w:spacing w:line="440" w:lineRule="exact"/>
              <w:rPr>
                <w:rFonts w:ascii="仿宋_GB2312"/>
                <w:sz w:val="21"/>
                <w:szCs w:val="21"/>
              </w:rPr>
            </w:pPr>
          </w:p>
        </w:tc>
        <w:tc>
          <w:tcPr>
            <w:tcW w:w="1063" w:type="dxa"/>
            <w:shd w:val="clear" w:color="auto" w:fill="auto"/>
          </w:tcPr>
          <w:p>
            <w:pPr>
              <w:pStyle w:val="5"/>
              <w:spacing w:line="440" w:lineRule="exact"/>
              <w:rPr>
                <w:rFonts w:hint="default" w:ascii="仿宋_GB2312" w:eastAsia="仿宋_GB2312"/>
                <w:sz w:val="21"/>
                <w:szCs w:val="21"/>
              </w:rPr>
            </w:pPr>
            <w:r>
              <w:rPr>
                <w:rFonts w:ascii="仿宋_GB2312" w:eastAsia="仿宋_GB2312"/>
                <w:sz w:val="21"/>
                <w:szCs w:val="21"/>
              </w:rPr>
              <w:t>系统集成</w:t>
            </w:r>
          </w:p>
          <w:p>
            <w:pPr>
              <w:pStyle w:val="5"/>
              <w:spacing w:line="440" w:lineRule="exact"/>
              <w:rPr>
                <w:rFonts w:hint="default" w:ascii="仿宋_GB2312" w:eastAsia="仿宋_GB2312"/>
                <w:sz w:val="21"/>
                <w:szCs w:val="21"/>
              </w:rPr>
            </w:pPr>
            <w:r>
              <w:rPr>
                <w:rFonts w:ascii="仿宋_GB2312" w:eastAsia="仿宋_GB2312"/>
                <w:sz w:val="21"/>
                <w:szCs w:val="21"/>
              </w:rPr>
              <w:t>重用方案(10.0分)</w:t>
            </w:r>
          </w:p>
        </w:tc>
        <w:tc>
          <w:tcPr>
            <w:tcW w:w="6783" w:type="dxa"/>
            <w:shd w:val="clear" w:color="auto" w:fill="auto"/>
          </w:tcPr>
          <w:p>
            <w:pPr>
              <w:pStyle w:val="5"/>
              <w:spacing w:line="440" w:lineRule="exact"/>
              <w:rPr>
                <w:rFonts w:hint="default" w:ascii="仿宋_GB2312" w:eastAsia="仿宋_GB2312"/>
                <w:sz w:val="21"/>
                <w:szCs w:val="21"/>
              </w:rPr>
            </w:pPr>
            <w:r>
              <w:rPr>
                <w:rFonts w:ascii="仿宋_GB2312" w:eastAsia="仿宋_GB2312"/>
                <w:sz w:val="21"/>
                <w:szCs w:val="21"/>
              </w:rPr>
              <w:t>根据投标人提供与东莞市住房和城乡建设局综合信息管理系统功能集成重用实现方案的全面性、可操作性以及与本期项目的关系描述及取得有效支持等方面进行综合评审：</w:t>
            </w:r>
            <w:r>
              <w:rPr>
                <w:rFonts w:ascii="仿宋_GB2312" w:eastAsia="仿宋_GB2312"/>
              </w:rPr>
              <w:t>①</w:t>
            </w:r>
            <w:r>
              <w:rPr>
                <w:rFonts w:ascii="仿宋_GB2312" w:eastAsia="仿宋_GB2312"/>
                <w:sz w:val="21"/>
                <w:szCs w:val="21"/>
              </w:rPr>
              <w:t>系统对接集成重用方案全面、可操作性强，能重用已有技术框架及利用已有数据资源，与本期项目的关系描述详细完整的，得</w:t>
            </w:r>
            <w:r>
              <w:rPr>
                <w:rFonts w:ascii="仿宋_GB2312" w:eastAsia="仿宋_GB2312"/>
                <w:sz w:val="21"/>
                <w:szCs w:val="21"/>
                <w:lang w:eastAsia="zh-CN"/>
              </w:rPr>
              <w:t>10</w:t>
            </w:r>
            <w:r>
              <w:rPr>
                <w:rFonts w:ascii="仿宋_GB2312" w:eastAsia="仿宋_GB2312"/>
                <w:sz w:val="21"/>
                <w:szCs w:val="21"/>
              </w:rPr>
              <w:t>分；</w:t>
            </w:r>
            <w:r>
              <w:rPr>
                <w:rFonts w:ascii="仿宋_GB2312" w:eastAsia="仿宋_GB2312"/>
              </w:rPr>
              <w:t>②</w:t>
            </w:r>
            <w:r>
              <w:rPr>
                <w:rFonts w:ascii="仿宋_GB2312" w:eastAsia="仿宋_GB2312"/>
                <w:sz w:val="21"/>
                <w:szCs w:val="21"/>
              </w:rPr>
              <w:t>系统对接集成重用方案较完整、可操作性较强，能重用已有技术框架及利用已有数据资源，与本期项目的关系描述较完整的，得</w:t>
            </w:r>
            <w:r>
              <w:rPr>
                <w:rFonts w:ascii="仿宋_GB2312" w:eastAsia="仿宋_GB2312"/>
                <w:sz w:val="21"/>
                <w:szCs w:val="21"/>
                <w:lang w:eastAsia="zh-CN"/>
              </w:rPr>
              <w:t>7</w:t>
            </w:r>
            <w:r>
              <w:rPr>
                <w:rFonts w:ascii="仿宋_GB2312" w:eastAsia="仿宋_GB2312"/>
                <w:sz w:val="21"/>
                <w:szCs w:val="21"/>
              </w:rPr>
              <w:t>分；</w:t>
            </w:r>
            <w:bookmarkStart w:id="0" w:name="OLE_LINK5"/>
            <w:r>
              <w:rPr>
                <w:rFonts w:ascii="仿宋_GB2312" w:eastAsia="仿宋_GB2312"/>
              </w:rPr>
              <w:t>③</w:t>
            </w:r>
            <w:bookmarkEnd w:id="0"/>
            <w:r>
              <w:rPr>
                <w:rFonts w:ascii="仿宋_GB2312" w:eastAsia="仿宋_GB2312"/>
                <w:sz w:val="21"/>
                <w:szCs w:val="21"/>
              </w:rPr>
              <w:t>系统对接集成重用方案完整、可操作性一般，能重用已有技术框架及利用已有数据资源，与本期项目的关系描述一般的，得</w:t>
            </w:r>
            <w:r>
              <w:rPr>
                <w:rFonts w:ascii="仿宋_GB2312" w:eastAsia="仿宋_GB2312"/>
                <w:sz w:val="21"/>
                <w:szCs w:val="21"/>
                <w:lang w:eastAsia="zh-CN"/>
              </w:rPr>
              <w:t>4</w:t>
            </w:r>
            <w:r>
              <w:rPr>
                <w:rFonts w:ascii="仿宋_GB2312" w:eastAsia="仿宋_GB2312"/>
                <w:sz w:val="21"/>
                <w:szCs w:val="21"/>
              </w:rPr>
              <w:t>分；</w:t>
            </w:r>
            <w:bookmarkStart w:id="1" w:name="OLE_LINK6"/>
            <w:r>
              <w:rPr>
                <w:rFonts w:ascii="仿宋_GB2312" w:eastAsia="仿宋_GB2312"/>
              </w:rPr>
              <w:t>④</w:t>
            </w:r>
            <w:bookmarkEnd w:id="1"/>
            <w:r>
              <w:rPr>
                <w:rFonts w:ascii="仿宋_GB2312" w:eastAsia="仿宋_GB2312"/>
                <w:sz w:val="21"/>
                <w:szCs w:val="21"/>
              </w:rPr>
              <w:t>系统对接集成重用方案不完整、可操作性差，与本期项目的关系没有描述的，得1分；未提供对应方案的不得分。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vMerge w:val="continue"/>
          </w:tcPr>
          <w:p>
            <w:pPr>
              <w:spacing w:line="440" w:lineRule="exact"/>
              <w:rPr>
                <w:rFonts w:ascii="仿宋_GB2312"/>
                <w:sz w:val="21"/>
                <w:szCs w:val="21"/>
              </w:rPr>
            </w:pPr>
          </w:p>
        </w:tc>
        <w:tc>
          <w:tcPr>
            <w:tcW w:w="1063" w:type="dxa"/>
            <w:shd w:val="clear" w:color="auto" w:fill="auto"/>
          </w:tcPr>
          <w:p>
            <w:pPr>
              <w:pStyle w:val="5"/>
              <w:spacing w:line="440" w:lineRule="exact"/>
              <w:rPr>
                <w:rFonts w:hint="default" w:ascii="仿宋_GB2312" w:eastAsia="仿宋_GB2312"/>
                <w:sz w:val="21"/>
                <w:szCs w:val="21"/>
              </w:rPr>
            </w:pPr>
            <w:r>
              <w:rPr>
                <w:rFonts w:ascii="仿宋_GB2312" w:eastAsia="仿宋_GB2312"/>
                <w:sz w:val="21"/>
                <w:szCs w:val="21"/>
              </w:rPr>
              <w:t>项目实施方案(</w:t>
            </w:r>
            <w:r>
              <w:rPr>
                <w:rFonts w:ascii="仿宋_GB2312" w:eastAsia="仿宋_GB2312"/>
                <w:sz w:val="21"/>
                <w:szCs w:val="21"/>
                <w:lang w:eastAsia="zh-CN"/>
              </w:rPr>
              <w:t>10</w:t>
            </w:r>
            <w:r>
              <w:rPr>
                <w:rFonts w:ascii="仿宋_GB2312" w:eastAsia="仿宋_GB2312"/>
                <w:sz w:val="21"/>
                <w:szCs w:val="21"/>
              </w:rPr>
              <w:t>.0分)</w:t>
            </w:r>
          </w:p>
        </w:tc>
        <w:tc>
          <w:tcPr>
            <w:tcW w:w="6783" w:type="dxa"/>
            <w:shd w:val="clear" w:color="auto" w:fill="auto"/>
          </w:tcPr>
          <w:p>
            <w:pPr>
              <w:pStyle w:val="5"/>
              <w:spacing w:line="440" w:lineRule="exact"/>
              <w:rPr>
                <w:rFonts w:hint="default" w:ascii="仿宋_GB2312" w:eastAsia="仿宋_GB2312"/>
                <w:sz w:val="21"/>
                <w:szCs w:val="21"/>
                <w:lang w:eastAsia="zh-CN"/>
              </w:rPr>
            </w:pPr>
            <w:r>
              <w:rPr>
                <w:rFonts w:ascii="仿宋_GB2312" w:eastAsia="仿宋_GB2312"/>
                <w:sz w:val="21"/>
                <w:szCs w:val="21"/>
              </w:rPr>
              <w:t>根据投标人技术方案的项目实施、测试、培训、售后服务内容是否详尽合理、可行、完善等方面进行综合评审：</w:t>
            </w:r>
            <w:r>
              <w:rPr>
                <w:rFonts w:ascii="仿宋_GB2312" w:eastAsia="仿宋_GB2312"/>
              </w:rPr>
              <w:t>①</w:t>
            </w:r>
            <w:r>
              <w:rPr>
                <w:rFonts w:ascii="仿宋_GB2312" w:eastAsia="仿宋_GB2312"/>
                <w:sz w:val="21"/>
                <w:szCs w:val="21"/>
              </w:rPr>
              <w:t>投标人提供的实施方案、测试方案、培训方案、售后服务方案详尽合理、可操作性强，得</w:t>
            </w:r>
            <w:r>
              <w:rPr>
                <w:rFonts w:ascii="仿宋_GB2312" w:eastAsia="仿宋_GB2312"/>
                <w:sz w:val="21"/>
                <w:szCs w:val="21"/>
                <w:lang w:eastAsia="zh-CN"/>
              </w:rPr>
              <w:t>10</w:t>
            </w:r>
            <w:r>
              <w:rPr>
                <w:rFonts w:ascii="仿宋_GB2312" w:eastAsia="仿宋_GB2312"/>
                <w:sz w:val="21"/>
                <w:szCs w:val="21"/>
              </w:rPr>
              <w:t>分；</w:t>
            </w:r>
            <w:r>
              <w:rPr>
                <w:rFonts w:ascii="仿宋_GB2312" w:eastAsia="仿宋_GB2312"/>
              </w:rPr>
              <w:t>②</w:t>
            </w:r>
            <w:r>
              <w:rPr>
                <w:rFonts w:ascii="仿宋_GB2312" w:eastAsia="仿宋_GB2312"/>
                <w:sz w:val="21"/>
                <w:szCs w:val="21"/>
              </w:rPr>
              <w:t>投标人提供的实施方案、测试方案、培训方案、售后服务方案较为详尽、可操作性较强的，得</w:t>
            </w:r>
            <w:r>
              <w:rPr>
                <w:rFonts w:ascii="仿宋_GB2312" w:eastAsia="仿宋_GB2312"/>
                <w:sz w:val="21"/>
                <w:szCs w:val="21"/>
                <w:lang w:eastAsia="zh-CN"/>
              </w:rPr>
              <w:t>7</w:t>
            </w:r>
            <w:r>
              <w:rPr>
                <w:rFonts w:ascii="仿宋_GB2312" w:eastAsia="仿宋_GB2312"/>
                <w:sz w:val="21"/>
                <w:szCs w:val="21"/>
              </w:rPr>
              <w:t>分；</w:t>
            </w:r>
            <w:r>
              <w:rPr>
                <w:rFonts w:ascii="仿宋_GB2312" w:eastAsia="仿宋_GB2312"/>
              </w:rPr>
              <w:t>③</w:t>
            </w:r>
            <w:r>
              <w:rPr>
                <w:rFonts w:ascii="仿宋_GB2312" w:eastAsia="仿宋_GB2312"/>
                <w:sz w:val="21"/>
                <w:szCs w:val="21"/>
              </w:rPr>
              <w:t>投标人提供的实施方案、测试方案、培训方案、售后服务方案不详尽、可操作性一般的，得</w:t>
            </w:r>
            <w:r>
              <w:rPr>
                <w:rFonts w:ascii="仿宋_GB2312" w:eastAsia="仿宋_GB2312"/>
                <w:sz w:val="21"/>
                <w:szCs w:val="21"/>
                <w:lang w:eastAsia="zh-CN"/>
              </w:rPr>
              <w:t>4</w:t>
            </w:r>
            <w:r>
              <w:rPr>
                <w:rFonts w:ascii="仿宋_GB2312" w:eastAsia="仿宋_GB2312"/>
                <w:sz w:val="21"/>
                <w:szCs w:val="21"/>
              </w:rPr>
              <w:t>分；</w:t>
            </w:r>
            <w:r>
              <w:rPr>
                <w:rFonts w:ascii="仿宋_GB2312" w:eastAsia="仿宋_GB2312"/>
              </w:rPr>
              <w:t>④</w:t>
            </w:r>
            <w:r>
              <w:rPr>
                <w:rFonts w:ascii="仿宋_GB2312" w:eastAsia="仿宋_GB2312"/>
                <w:sz w:val="21"/>
                <w:szCs w:val="21"/>
              </w:rPr>
              <w:t>投标人提供的实施方案、测试方案、培训方案、售后服务方案不详尽、可操作性较差的，得1分； 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vMerge w:val="restart"/>
          </w:tcPr>
          <w:p>
            <w:pPr>
              <w:spacing w:line="440" w:lineRule="exact"/>
              <w:rPr>
                <w:rFonts w:ascii="仿宋_GB2312"/>
                <w:sz w:val="21"/>
                <w:szCs w:val="21"/>
              </w:rPr>
            </w:pPr>
            <w:r>
              <w:rPr>
                <w:rFonts w:hint="eastAsia" w:ascii="仿宋_GB2312" w:hAnsiTheme="minorHAnsi" w:cstheme="minorBidi"/>
                <w:kern w:val="0"/>
                <w:sz w:val="21"/>
                <w:szCs w:val="21"/>
                <w:lang w:eastAsia="zh-Hans"/>
              </w:rPr>
              <w:t>商务部分（</w:t>
            </w:r>
            <w:r>
              <w:rPr>
                <w:rFonts w:hint="eastAsia" w:ascii="仿宋_GB2312" w:hAnsiTheme="minorHAnsi" w:cstheme="minorBidi"/>
                <w:kern w:val="0"/>
                <w:sz w:val="21"/>
                <w:szCs w:val="21"/>
              </w:rPr>
              <w:t>4</w:t>
            </w:r>
            <w:r>
              <w:rPr>
                <w:rFonts w:hint="eastAsia" w:ascii="仿宋_GB2312" w:hAnsiTheme="minorHAnsi" w:cstheme="minorBidi"/>
                <w:kern w:val="0"/>
                <w:sz w:val="21"/>
                <w:szCs w:val="21"/>
                <w:lang w:eastAsia="zh-Hans"/>
              </w:rPr>
              <w:t>0.0分）</w:t>
            </w:r>
          </w:p>
        </w:tc>
        <w:tc>
          <w:tcPr>
            <w:tcW w:w="1063" w:type="dxa"/>
          </w:tcPr>
          <w:p>
            <w:pPr>
              <w:pStyle w:val="5"/>
              <w:spacing w:line="440" w:lineRule="exact"/>
              <w:rPr>
                <w:rFonts w:hint="default" w:ascii="仿宋_GB2312" w:eastAsia="仿宋_GB2312"/>
                <w:sz w:val="21"/>
                <w:szCs w:val="21"/>
              </w:rPr>
            </w:pPr>
            <w:r>
              <w:rPr>
                <w:rFonts w:ascii="仿宋_GB2312" w:eastAsia="仿宋_GB2312"/>
                <w:sz w:val="21"/>
                <w:szCs w:val="21"/>
                <w:lang w:eastAsia="zh-CN"/>
              </w:rPr>
              <w:t>业绩得分</w:t>
            </w:r>
            <w:r>
              <w:rPr>
                <w:rFonts w:ascii="仿宋_GB2312" w:eastAsia="仿宋_GB2312"/>
                <w:sz w:val="21"/>
                <w:szCs w:val="21"/>
              </w:rPr>
              <w:t xml:space="preserve"> (</w:t>
            </w:r>
            <w:r>
              <w:rPr>
                <w:rFonts w:ascii="仿宋_GB2312" w:eastAsia="仿宋_GB2312"/>
                <w:sz w:val="21"/>
                <w:szCs w:val="21"/>
                <w:lang w:eastAsia="zh-CN"/>
              </w:rPr>
              <w:t>12</w:t>
            </w:r>
            <w:r>
              <w:rPr>
                <w:rFonts w:ascii="仿宋_GB2312" w:eastAsia="仿宋_GB2312"/>
                <w:sz w:val="21"/>
                <w:szCs w:val="21"/>
              </w:rPr>
              <w:t>.0分)</w:t>
            </w:r>
          </w:p>
        </w:tc>
        <w:tc>
          <w:tcPr>
            <w:tcW w:w="6783" w:type="dxa"/>
          </w:tcPr>
          <w:p>
            <w:pPr>
              <w:pStyle w:val="5"/>
              <w:spacing w:line="440" w:lineRule="exact"/>
              <w:rPr>
                <w:rFonts w:hint="default" w:ascii="仿宋_GB2312" w:eastAsia="仿宋_GB2312"/>
                <w:sz w:val="21"/>
                <w:szCs w:val="21"/>
              </w:rPr>
            </w:pPr>
            <w:r>
              <w:rPr>
                <w:rFonts w:ascii="仿宋_GB2312" w:eastAsia="仿宋_GB2312"/>
                <w:sz w:val="21"/>
                <w:szCs w:val="21"/>
              </w:rPr>
              <w:t>投标人承接过信息系统软件开发类或运维类项目，每提供一个得</w:t>
            </w:r>
            <w:r>
              <w:rPr>
                <w:rFonts w:ascii="仿宋_GB2312" w:eastAsia="仿宋_GB2312"/>
                <w:sz w:val="21"/>
                <w:szCs w:val="21"/>
                <w:lang w:eastAsia="zh-CN"/>
              </w:rPr>
              <w:t>1</w:t>
            </w:r>
            <w:r>
              <w:rPr>
                <w:rFonts w:ascii="仿宋_GB2312" w:eastAsia="仿宋_GB2312"/>
                <w:sz w:val="21"/>
                <w:szCs w:val="21"/>
              </w:rPr>
              <w:t>分，</w:t>
            </w:r>
            <w:r>
              <w:rPr>
                <w:rFonts w:ascii="仿宋_GB2312" w:eastAsia="仿宋_GB2312"/>
                <w:sz w:val="21"/>
                <w:szCs w:val="21"/>
                <w:lang w:eastAsia="zh-CN"/>
              </w:rPr>
              <w:t>最高</w:t>
            </w:r>
            <w:r>
              <w:rPr>
                <w:rFonts w:ascii="仿宋_GB2312" w:eastAsia="仿宋_GB2312"/>
                <w:sz w:val="21"/>
                <w:szCs w:val="21"/>
              </w:rPr>
              <w:t>得</w:t>
            </w:r>
            <w:r>
              <w:rPr>
                <w:rFonts w:ascii="仿宋_GB2312" w:eastAsia="仿宋_GB2312"/>
                <w:sz w:val="21"/>
                <w:szCs w:val="21"/>
                <w:lang w:eastAsia="zh-CN"/>
              </w:rPr>
              <w:t>12</w:t>
            </w:r>
            <w:r>
              <w:rPr>
                <w:rFonts w:ascii="仿宋_GB2312" w:eastAsia="仿宋_GB2312"/>
                <w:sz w:val="21"/>
                <w:szCs w:val="21"/>
              </w:rPr>
              <w:t>分。</w:t>
            </w:r>
          </w:p>
          <w:p>
            <w:pPr>
              <w:pStyle w:val="5"/>
              <w:spacing w:line="440" w:lineRule="exact"/>
              <w:rPr>
                <w:rFonts w:hint="default" w:ascii="仿宋_GB2312" w:eastAsia="仿宋_GB2312"/>
                <w:sz w:val="21"/>
                <w:szCs w:val="21"/>
                <w:lang w:eastAsia="zh-CN"/>
              </w:rPr>
            </w:pPr>
            <w:r>
              <w:rPr>
                <w:rFonts w:ascii="仿宋_GB2312" w:eastAsia="仿宋_GB2312"/>
                <w:sz w:val="21"/>
                <w:szCs w:val="21"/>
                <w:lang w:eastAsia="zh-CN"/>
              </w:rPr>
              <w:t>【须提供合同关键页有效证明复印件并加盖公章】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vMerge w:val="continue"/>
          </w:tcPr>
          <w:p>
            <w:pPr>
              <w:spacing w:line="440" w:lineRule="exact"/>
              <w:rPr>
                <w:rFonts w:ascii="仿宋_GB2312"/>
                <w:sz w:val="21"/>
                <w:szCs w:val="21"/>
              </w:rPr>
            </w:pPr>
          </w:p>
        </w:tc>
        <w:tc>
          <w:tcPr>
            <w:tcW w:w="1063" w:type="dxa"/>
          </w:tcPr>
          <w:p>
            <w:pPr>
              <w:pStyle w:val="5"/>
              <w:spacing w:line="440" w:lineRule="exact"/>
              <w:rPr>
                <w:rFonts w:hint="default" w:ascii="仿宋_GB2312" w:eastAsia="仿宋_GB2312"/>
                <w:sz w:val="21"/>
                <w:szCs w:val="21"/>
                <w:lang w:eastAsia="zh-CN"/>
              </w:rPr>
            </w:pPr>
            <w:r>
              <w:rPr>
                <w:rFonts w:ascii="仿宋_GB2312" w:eastAsia="仿宋_GB2312"/>
                <w:sz w:val="21"/>
                <w:szCs w:val="21"/>
                <w:lang w:eastAsia="zh-CN"/>
              </w:rPr>
              <w:t>投标人认证情况 (12.0分)</w:t>
            </w:r>
          </w:p>
        </w:tc>
        <w:tc>
          <w:tcPr>
            <w:tcW w:w="6783" w:type="dxa"/>
          </w:tcPr>
          <w:p>
            <w:pPr>
              <w:pStyle w:val="5"/>
              <w:spacing w:line="440" w:lineRule="exact"/>
              <w:rPr>
                <w:rFonts w:hint="default" w:ascii="仿宋_GB2312" w:eastAsia="仿宋_GB2312"/>
                <w:sz w:val="21"/>
                <w:szCs w:val="21"/>
                <w:lang w:eastAsia="zh-CN"/>
              </w:rPr>
            </w:pPr>
            <w:r>
              <w:rPr>
                <w:rFonts w:ascii="仿宋_GB2312" w:eastAsia="仿宋_GB2312"/>
                <w:sz w:val="21"/>
                <w:szCs w:val="21"/>
                <w:lang w:eastAsia="zh-CN"/>
              </w:rPr>
              <w:t>1.投标人具有由国家认证认可的监督管理部门批准设立的认证机构颁发并在有效期内的质量管理体系认证证书、环境管理体系认证证书、职业健康安全管理体系认证证书，每个得3分，最高得9分。 2.投标人具有信息技术服务运行维护能力(ITSS)证书得3分。 注：需同时提供以上认证证书扫描件及国家认证认可监督管理委员的“全国认证认可信息公共服务平台”（http://cx.cnca.cn）查询结果截图，失效、撤销或暂停的对应证书项不得分。因企业成立时间不足，导致未能取得相关认证且提供书面说明的，可获得对应证书的分值。认证单位名称须与投标人名称一致，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6" w:type="dxa"/>
            <w:vMerge w:val="continue"/>
          </w:tcPr>
          <w:p>
            <w:pPr>
              <w:spacing w:line="440" w:lineRule="exact"/>
              <w:rPr>
                <w:rFonts w:ascii="仿宋_GB2312"/>
                <w:sz w:val="21"/>
                <w:szCs w:val="21"/>
              </w:rPr>
            </w:pPr>
          </w:p>
        </w:tc>
        <w:tc>
          <w:tcPr>
            <w:tcW w:w="1063" w:type="dxa"/>
          </w:tcPr>
          <w:p>
            <w:pPr>
              <w:pStyle w:val="5"/>
              <w:spacing w:line="440" w:lineRule="exact"/>
              <w:rPr>
                <w:rFonts w:hint="default" w:ascii="仿宋_GB2312" w:eastAsia="仿宋_GB2312"/>
                <w:sz w:val="21"/>
                <w:szCs w:val="21"/>
                <w:lang w:eastAsia="zh-CN"/>
              </w:rPr>
            </w:pPr>
            <w:r>
              <w:rPr>
                <w:rFonts w:ascii="仿宋_GB2312" w:eastAsia="仿宋_GB2312"/>
                <w:sz w:val="21"/>
                <w:szCs w:val="21"/>
                <w:lang w:eastAsia="zh-CN"/>
              </w:rPr>
              <w:t>项目团队实力 (16.0分)</w:t>
            </w:r>
          </w:p>
        </w:tc>
        <w:tc>
          <w:tcPr>
            <w:tcW w:w="6783" w:type="dxa"/>
          </w:tcPr>
          <w:p>
            <w:pPr>
              <w:pStyle w:val="5"/>
              <w:spacing w:line="440" w:lineRule="exact"/>
              <w:rPr>
                <w:rFonts w:hint="default" w:ascii="仿宋_GB2312" w:eastAsia="仿宋_GB2312"/>
                <w:sz w:val="21"/>
                <w:szCs w:val="21"/>
              </w:rPr>
            </w:pPr>
            <w:r>
              <w:rPr>
                <w:rFonts w:ascii="仿宋_GB2312" w:eastAsia="仿宋_GB2312"/>
                <w:sz w:val="21"/>
                <w:szCs w:val="21"/>
                <w:lang w:eastAsia="zh-CN"/>
              </w:rPr>
              <w:t>1.项目团队的项目经理（仅限一人）具有人力资源和社会保障部或工业和信息化部（含原人事部）颁发的系统规划与管理师证书、系统架构设计师证书和系统分析师证书的，每提供1个有效证书得2分，本小项最高得6分； 2.项目团队中技术负责人（仅限一人）具有人力资源和社会保障部或工业和信息化部（含原人事部）颁发的系统规划与管理师证书、信息系统项目管理师证书，每提供1个有效证书得2分，本小项最高得4分； 3.项目团队中技术人员（除项目经理、技术负责人外）具有人力资源和社会保障部或工业和信息化部（含原人事部）颁发的软件设计师证书的，每提供1个有效证书得1分，本小项最高得6分。 注：以上人员需提供相关有效的证书复印件及开标前6个月任意1个月（不含开标当月）投标人为其缴纳的社保证明复印件并加盖投标人公章，以上人员不重复得分。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1196" w:type="dxa"/>
          </w:tcPr>
          <w:p>
            <w:pPr>
              <w:pStyle w:val="5"/>
              <w:spacing w:line="440" w:lineRule="exact"/>
              <w:jc w:val="center"/>
              <w:rPr>
                <w:rFonts w:hint="default" w:ascii="仿宋_GB2312" w:eastAsia="仿宋_GB2312"/>
                <w:sz w:val="21"/>
                <w:szCs w:val="21"/>
              </w:rPr>
            </w:pPr>
            <w:r>
              <w:rPr>
                <w:rFonts w:ascii="仿宋_GB2312" w:eastAsia="仿宋_GB2312"/>
                <w:sz w:val="21"/>
                <w:szCs w:val="21"/>
              </w:rPr>
              <w:t>投标报价</w:t>
            </w:r>
          </w:p>
          <w:p>
            <w:pPr>
              <w:pStyle w:val="5"/>
              <w:spacing w:line="440" w:lineRule="exact"/>
              <w:jc w:val="center"/>
              <w:rPr>
                <w:rFonts w:hint="default" w:ascii="仿宋_GB2312" w:eastAsia="仿宋_GB2312"/>
                <w:sz w:val="21"/>
                <w:szCs w:val="21"/>
                <w:lang w:eastAsia="zh-CN"/>
              </w:rPr>
            </w:pPr>
            <w:r>
              <w:rPr>
                <w:rFonts w:ascii="仿宋_GB2312" w:eastAsia="仿宋_GB2312"/>
                <w:sz w:val="21"/>
                <w:szCs w:val="21"/>
                <w:lang w:eastAsia="zh-CN"/>
              </w:rPr>
              <w:t>（10.0分）</w:t>
            </w:r>
          </w:p>
        </w:tc>
        <w:tc>
          <w:tcPr>
            <w:tcW w:w="1063" w:type="dxa"/>
          </w:tcPr>
          <w:p>
            <w:pPr>
              <w:pStyle w:val="5"/>
              <w:spacing w:line="440" w:lineRule="exact"/>
              <w:rPr>
                <w:rFonts w:hint="default" w:ascii="仿宋_GB2312" w:eastAsia="仿宋_GB2312"/>
                <w:sz w:val="21"/>
                <w:szCs w:val="21"/>
              </w:rPr>
            </w:pPr>
            <w:r>
              <w:rPr>
                <w:rFonts w:ascii="仿宋_GB2312" w:eastAsia="仿宋_GB2312"/>
                <w:sz w:val="21"/>
                <w:szCs w:val="21"/>
              </w:rPr>
              <w:t>投标报价得分 (</w:t>
            </w:r>
            <w:r>
              <w:rPr>
                <w:rFonts w:ascii="仿宋_GB2312" w:eastAsia="仿宋_GB2312"/>
                <w:sz w:val="21"/>
                <w:szCs w:val="21"/>
                <w:lang w:eastAsia="zh-CN"/>
              </w:rPr>
              <w:t>1</w:t>
            </w:r>
            <w:r>
              <w:rPr>
                <w:rFonts w:ascii="仿宋_GB2312" w:eastAsia="仿宋_GB2312"/>
                <w:sz w:val="21"/>
                <w:szCs w:val="21"/>
              </w:rPr>
              <w:t>0.0分)</w:t>
            </w:r>
          </w:p>
        </w:tc>
        <w:tc>
          <w:tcPr>
            <w:tcW w:w="6783" w:type="dxa"/>
            <w:shd w:val="clear" w:color="auto" w:fill="auto"/>
          </w:tcPr>
          <w:p>
            <w:pPr>
              <w:pStyle w:val="5"/>
              <w:spacing w:line="440" w:lineRule="exact"/>
              <w:rPr>
                <w:rFonts w:hint="default" w:ascii="仿宋_GB2312" w:eastAsia="仿宋_GB2312"/>
                <w:sz w:val="21"/>
                <w:szCs w:val="21"/>
              </w:rPr>
            </w:pPr>
            <w:r>
              <w:rPr>
                <w:rFonts w:ascii="仿宋_GB2312" w:eastAsia="仿宋_GB2312"/>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841F6"/>
    <w:rsid w:val="0D352B8F"/>
    <w:rsid w:val="73BB4C8B"/>
    <w:rsid w:val="7E984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left="200" w:leftChars="200"/>
      <w:jc w:val="both"/>
    </w:pPr>
    <w:rPr>
      <w:rFonts w:ascii="Calibri" w:hAnsi="Calibri" w:eastAsia="宋体" w:cs="宋体"/>
      <w:kern w:val="2"/>
      <w:sz w:val="21"/>
      <w:szCs w:val="22"/>
      <w:lang w:val="en-US" w:eastAsia="zh-CN" w:bidi="ar-SA"/>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 w:type="paragraph" w:customStyle="1" w:styleId="6">
    <w:name w:val="住建局正文"/>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2026-06-18T00:59:00Z</dcterms:created>
  <dc:creator>Administrator</dc:creator>
  <cp:lastModifiedBy>Administrator</cp:lastModifiedBy>
  <dcterms:modified xsi:type="dcterms:W3CDTF">2026-06-18T01:41:16Z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361F911082C0482FA06AB1BE5E1AA067</vt:lpwstr>
  </property>
</Properties>
</file>