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仿宋_GB2312"/>
          <w:b/>
          <w:bCs/>
          <w:sz w:val="28"/>
          <w:szCs w:val="28"/>
        </w:rPr>
      </w:pPr>
      <w:r>
        <w:rPr>
          <w:rFonts w:eastAsia="方正小标宋简体"/>
          <w:color w:val="000000"/>
          <w:sz w:val="44"/>
          <w:szCs w:val="44"/>
        </w:rPr>
        <w:t>评审标准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采购人成立评审小组，对供应商响应文件进行评审。得分为评审小组成员评分的算术平均分，分值保留小数点后两位。</w:t>
      </w:r>
    </w:p>
    <w:p>
      <w:pPr>
        <w:widowControl/>
        <w:numPr>
          <w:ilvl w:val="255"/>
          <w:numId w:val="0"/>
        </w:numPr>
        <w:spacing w:line="560" w:lineRule="exact"/>
        <w:ind w:firstLine="686" w:firstLineChars="245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一、评审原则</w:t>
      </w:r>
    </w:p>
    <w:p>
      <w:pPr>
        <w:spacing w:line="560" w:lineRule="exact"/>
        <w:ind w:firstLine="686" w:firstLineChars="245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采购采用百分制综合评分法，即在供应商最大限度满足项目需求书实质性要求的基础上，按照评分标准的各项因素进行综合评审，以评审总得分最高的供应商为第一排序候选人，次高者为第二排序候选人；若评审总得分相同，以报价低者优先。根据采购要求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总分设定为100分，其中商务部分2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分、技术部分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分、报价部分30分。</w:t>
      </w:r>
    </w:p>
    <w:p>
      <w:pPr>
        <w:spacing w:line="560" w:lineRule="exact"/>
        <w:ind w:firstLine="686" w:firstLineChars="245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二、评分方式</w:t>
      </w:r>
    </w:p>
    <w:p>
      <w:pPr>
        <w:spacing w:line="560" w:lineRule="exact"/>
        <w:ind w:firstLine="686" w:firstLineChars="24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根据评审原则，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所有响应文件按商务部分、技术部分和报价部分分别评分，最终汇总形成总得分。</w:t>
      </w:r>
    </w:p>
    <w:tbl>
      <w:tblPr>
        <w:tblStyle w:val="18"/>
        <w:tblW w:w="8800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55"/>
        <w:gridCol w:w="5911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/>
                <w:sz w:val="22"/>
                <w:szCs w:val="22"/>
              </w:rPr>
              <w:t>分值构成</w:t>
            </w:r>
            <w:r>
              <w:rPr>
                <w:rFonts w:eastAsia="新宋体"/>
                <w:sz w:val="22"/>
                <w:szCs w:val="22"/>
              </w:rPr>
              <w:br w:type="textWrapping"/>
            </w:r>
            <w:r>
              <w:rPr>
                <w:rFonts w:eastAsia="新宋体"/>
                <w:sz w:val="22"/>
                <w:szCs w:val="22"/>
              </w:rPr>
              <w:t>（总分100分）</w:t>
            </w:r>
          </w:p>
        </w:tc>
        <w:tc>
          <w:tcPr>
            <w:tcW w:w="6938" w:type="dxa"/>
            <w:gridSpan w:val="2"/>
            <w:vAlign w:val="center"/>
          </w:tcPr>
          <w:p>
            <w:pPr>
              <w:rPr>
                <w:rFonts w:eastAsia="新宋体"/>
                <w:sz w:val="22"/>
                <w:szCs w:val="22"/>
              </w:rPr>
            </w:pPr>
            <w:r>
              <w:rPr>
                <w:rFonts w:eastAsia="新宋体"/>
                <w:sz w:val="22"/>
                <w:szCs w:val="22"/>
              </w:rPr>
              <w:t>商务部分：</w:t>
            </w:r>
            <w:r>
              <w:rPr>
                <w:rFonts w:hint="eastAsia" w:eastAsia="新宋体"/>
                <w:sz w:val="22"/>
                <w:szCs w:val="22"/>
              </w:rPr>
              <w:t>2</w:t>
            </w: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5</w:t>
            </w:r>
            <w:r>
              <w:rPr>
                <w:rFonts w:eastAsia="新宋体"/>
                <w:sz w:val="22"/>
                <w:szCs w:val="22"/>
              </w:rPr>
              <w:t>分</w:t>
            </w:r>
          </w:p>
          <w:p>
            <w:pPr>
              <w:rPr>
                <w:rFonts w:eastAsia="新宋体"/>
                <w:sz w:val="22"/>
                <w:szCs w:val="22"/>
              </w:rPr>
            </w:pPr>
            <w:r>
              <w:rPr>
                <w:rFonts w:eastAsia="新宋体"/>
                <w:sz w:val="22"/>
                <w:szCs w:val="22"/>
              </w:rPr>
              <w:t>技术部分：</w:t>
            </w: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45</w:t>
            </w:r>
            <w:r>
              <w:rPr>
                <w:rFonts w:eastAsia="新宋体"/>
                <w:sz w:val="22"/>
                <w:szCs w:val="22"/>
              </w:rPr>
              <w:t>分</w:t>
            </w:r>
          </w:p>
          <w:p>
            <w:pPr>
              <w:rPr>
                <w:rFonts w:eastAsia="新宋体"/>
                <w:sz w:val="22"/>
                <w:szCs w:val="22"/>
              </w:rPr>
            </w:pPr>
            <w:r>
              <w:rPr>
                <w:rFonts w:eastAsia="新宋体"/>
                <w:sz w:val="22"/>
                <w:szCs w:val="22"/>
              </w:rPr>
              <w:t>报价部分：</w:t>
            </w: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新宋体"/>
                <w:sz w:val="22"/>
                <w:szCs w:val="22"/>
              </w:rPr>
              <w:t>0</w:t>
            </w:r>
            <w:r>
              <w:rPr>
                <w:rFonts w:eastAsia="新宋体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eastAsia="新宋体"/>
                <w:b/>
                <w:bCs/>
                <w:sz w:val="22"/>
                <w:szCs w:val="22"/>
              </w:rPr>
            </w:pPr>
            <w:r>
              <w:rPr>
                <w:rFonts w:hint="eastAsia" w:eastAsia="新宋体"/>
                <w:b/>
                <w:bCs/>
                <w:sz w:val="22"/>
                <w:szCs w:val="22"/>
              </w:rPr>
              <w:t>分值构成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新宋体"/>
                <w:b/>
                <w:bCs/>
                <w:sz w:val="22"/>
                <w:szCs w:val="22"/>
              </w:rPr>
            </w:pPr>
            <w:r>
              <w:rPr>
                <w:rFonts w:eastAsia="新宋体"/>
                <w:b/>
                <w:bCs/>
                <w:sz w:val="22"/>
                <w:szCs w:val="22"/>
              </w:rPr>
              <w:t>评分因素</w:t>
            </w:r>
          </w:p>
        </w:tc>
        <w:tc>
          <w:tcPr>
            <w:tcW w:w="5911" w:type="dxa"/>
            <w:vAlign w:val="center"/>
          </w:tcPr>
          <w:p>
            <w:pPr>
              <w:ind w:firstLine="2871" w:firstLineChars="1300"/>
              <w:rPr>
                <w:rFonts w:eastAsia="新宋体"/>
                <w:b/>
                <w:bCs/>
                <w:sz w:val="22"/>
                <w:szCs w:val="22"/>
              </w:rPr>
            </w:pPr>
            <w:r>
              <w:rPr>
                <w:rFonts w:eastAsia="新宋体"/>
                <w:b/>
                <w:bCs/>
                <w:sz w:val="22"/>
                <w:szCs w:val="22"/>
              </w:rPr>
              <w:t>评分标准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eastAsia="新宋体"/>
                <w:b/>
                <w:bCs/>
                <w:sz w:val="22"/>
                <w:szCs w:val="22"/>
              </w:rPr>
            </w:pPr>
            <w:r>
              <w:rPr>
                <w:rFonts w:eastAsia="新宋体"/>
                <w:b/>
                <w:bCs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/>
                <w:sz w:val="22"/>
                <w:szCs w:val="22"/>
              </w:rPr>
              <w:t>商务部分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eastAsia="新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新宋体" w:cs="宋体"/>
                <w:sz w:val="22"/>
                <w:szCs w:val="22"/>
                <w:lang w:val="en-US" w:eastAsia="zh-CN"/>
              </w:rPr>
              <w:t>企业资质</w:t>
            </w:r>
          </w:p>
        </w:tc>
        <w:tc>
          <w:tcPr>
            <w:tcW w:w="5911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1.供应商具备有效期内建筑工程施工总承包三级及以上资质，得8分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；须提供相关资质证书复印件并加盖公章，否则不得分。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eastAsia="新宋体"/>
                <w:snapToGrid w:val="0"/>
                <w:sz w:val="22"/>
                <w:szCs w:val="22"/>
                <w:lang w:eastAsia="zh-CN"/>
              </w:rPr>
            </w:pPr>
            <w:r>
              <w:rPr>
                <w:rFonts w:hint="eastAsia" w:eastAsia="新宋体" w:cs="宋体"/>
                <w:sz w:val="22"/>
                <w:szCs w:val="22"/>
                <w:lang w:eastAsia="zh-CN"/>
              </w:rPr>
              <w:t>同类业绩</w:t>
            </w:r>
          </w:p>
        </w:tc>
        <w:tc>
          <w:tcPr>
            <w:tcW w:w="5911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近三年承接过政府机关、事业单位或国有企业零星修缮、房屋修缮、防水维修、管道改造、门窗更换等类似项目的，每提供1项得3分，最高得9分。须提供合同关键页复印件并加盖公章，否则不得分。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eastAsia="新宋体"/>
                <w:sz w:val="22"/>
                <w:szCs w:val="22"/>
                <w:lang w:eastAsia="zh-CN"/>
              </w:rPr>
            </w:pP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eastAsia="新宋体"/>
                <w:sz w:val="22"/>
                <w:szCs w:val="22"/>
                <w:lang w:val="en-US"/>
              </w:rPr>
            </w:pP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t>安全</w:t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t>生产</w:t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t>许可</w:t>
            </w:r>
          </w:p>
        </w:tc>
        <w:tc>
          <w:tcPr>
            <w:tcW w:w="5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具备有效期内安全生产许可证的，得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分；未提供不得分</w:t>
            </w:r>
            <w:bookmarkStart w:id="0" w:name="_GoBack"/>
            <w:bookmarkEnd w:id="0"/>
            <w:r>
              <w:rPr>
                <w:rFonts w:hint="default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/>
                <w:sz w:val="22"/>
                <w:szCs w:val="22"/>
              </w:rPr>
              <w:t>技术部分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项目</w:t>
            </w:r>
            <w:r>
              <w:rPr>
                <w:rFonts w:ascii="宋体" w:hAnsi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sz w:val="22"/>
                <w:szCs w:val="22"/>
              </w:rPr>
              <w:t>实施</w:t>
            </w:r>
            <w:r>
              <w:rPr>
                <w:rFonts w:ascii="宋体" w:hAnsi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sz w:val="22"/>
                <w:szCs w:val="22"/>
              </w:rPr>
              <w:t>方案</w:t>
            </w:r>
          </w:p>
        </w:tc>
        <w:tc>
          <w:tcPr>
            <w:tcW w:w="5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eastAsia="新宋体"/>
                <w:sz w:val="22"/>
                <w:szCs w:val="22"/>
              </w:rPr>
            </w:pP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1. 方案详细完整，针对车棚安装、楼宇零星修缮、室外工程、窗户更换、绿化修剪等内容均有针对性安排，施工部署科学合理、可操作性强的，得12分；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2. 方案较完整，能覆盖主要施工内容，安排较合理的，得8分；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3. 方案基本完整，但针对性和可操作性一般的，得4分；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4. 方案简略、可行性较差的，得1分；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5. 未提供不得分。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eastAsia="新宋体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kern w:val="2"/>
                <w:sz w:val="22"/>
                <w:szCs w:val="22"/>
                <w:lang w:val="en-US" w:eastAsia="zh-CN" w:bidi="ar-SA"/>
              </w:rPr>
              <w:t>质量管理管控方案</w:t>
            </w:r>
          </w:p>
        </w:tc>
        <w:tc>
          <w:tcPr>
            <w:tcW w:w="5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cs="宋体"/>
                <w:sz w:val="22"/>
                <w:szCs w:val="22"/>
              </w:rPr>
            </w:pPr>
            <w:r>
              <w:rPr>
                <w:rFonts w:hint="default" w:cs="宋体"/>
                <w:sz w:val="22"/>
                <w:szCs w:val="22"/>
                <w:lang w:val="en-US" w:eastAsia="zh-CN"/>
              </w:rPr>
              <w:t>1. 质量管理措施完善，包含材料把关、关键工序控制、隐蔽工程验收、成品保护等内容，且切合项目实际的，得10分；2. 质量管理措施较完整，较符合项目实际的，得7分；</w:t>
            </w:r>
            <w:r>
              <w:rPr>
                <w:rFonts w:hint="default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cs="宋体"/>
                <w:sz w:val="22"/>
                <w:szCs w:val="22"/>
                <w:lang w:val="en-US" w:eastAsia="zh-CN"/>
              </w:rPr>
              <w:t>3. 质量管理措施基本具备，但针对性一般的，得4分；</w:t>
            </w:r>
            <w:r>
              <w:rPr>
                <w:rFonts w:hint="default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cs="宋体"/>
                <w:sz w:val="22"/>
                <w:szCs w:val="22"/>
                <w:lang w:val="en-US" w:eastAsia="zh-CN"/>
              </w:rPr>
              <w:t>4. 质量管理措施不完整、操作性差的，得1分；</w:t>
            </w:r>
            <w:r>
              <w:rPr>
                <w:rFonts w:hint="default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cs="宋体"/>
                <w:sz w:val="22"/>
                <w:szCs w:val="22"/>
                <w:lang w:val="en-US" w:eastAsia="zh-CN"/>
              </w:rPr>
              <w:t>5. 未提供不得分。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eastAsia="新宋体"/>
                <w:sz w:val="22"/>
                <w:szCs w:val="22"/>
                <w:lang w:eastAsia="zh-CN"/>
              </w:rPr>
            </w:pPr>
            <w:r>
              <w:rPr>
                <w:rFonts w:hint="eastAsia" w:eastAsia="新宋体"/>
                <w:sz w:val="22"/>
                <w:szCs w:val="22"/>
              </w:rPr>
              <w:t>1</w:t>
            </w: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2"/>
                <w:szCs w:val="22"/>
                <w:lang w:val="en-US" w:eastAsia="zh-CN"/>
              </w:rPr>
              <w:t>进度</w:t>
            </w:r>
            <w:r>
              <w:rPr>
                <w:rFonts w:hint="default" w:ascii="Times New Roman" w:hAnsi="Times New Roman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z w:val="22"/>
                <w:szCs w:val="22"/>
                <w:lang w:val="en-US" w:eastAsia="zh-CN"/>
              </w:rPr>
              <w:t>控制</w:t>
            </w:r>
            <w:r>
              <w:rPr>
                <w:rFonts w:hint="default" w:ascii="Times New Roman" w:hAnsi="Times New Roman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z w:val="22"/>
                <w:szCs w:val="22"/>
                <w:lang w:val="en-US" w:eastAsia="zh-CN"/>
              </w:rPr>
              <w:t>方案</w:t>
            </w:r>
          </w:p>
        </w:tc>
        <w:tc>
          <w:tcPr>
            <w:tcW w:w="59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进度计划清晰，工序衔接合理，节点安排明确，能有效保障工期的，得</w:t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分；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2. 进度计划较合理，能基本满足工期要求的，得</w:t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分；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3. 进度计划一般，工期控制措施较弱的，得</w:t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分；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4. 进度计划不合理的，得1分；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5. 未提供不得分。</w:t>
            </w:r>
          </w:p>
        </w:tc>
        <w:tc>
          <w:tcPr>
            <w:tcW w:w="10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0" w:after="60" w:line="440" w:lineRule="exact"/>
              <w:ind w:left="1"/>
              <w:jc w:val="center"/>
              <w:textAlignment w:val="auto"/>
              <w:outlineLvl w:val="6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</w:rPr>
              <w:t>安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全文明施工方案</w:t>
            </w:r>
          </w:p>
        </w:tc>
        <w:tc>
          <w:tcPr>
            <w:tcW w:w="59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1. 安全文明施工方案完整，针对高空作业、消防施工、临时用电、围挡管理、应急处置等均有明确措施，得</w:t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分；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2. 方案较完整，基本满足本项目安全管理要求的，得</w:t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分；3. 方案基本具备，但部分措施较笼统的，得</w:t>
            </w:r>
            <w:r>
              <w:rPr>
                <w:rFonts w:hint="eastAsia" w:eastAsia="新宋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分；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4. 方案不完整、针对性差的，得1分；</w:t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新宋体" w:cs="Times New Roman"/>
                <w:sz w:val="22"/>
                <w:szCs w:val="22"/>
                <w:lang w:val="en-US" w:eastAsia="zh-CN"/>
              </w:rPr>
              <w:t>5. 未提供不得分。</w:t>
            </w:r>
          </w:p>
        </w:tc>
        <w:tc>
          <w:tcPr>
            <w:tcW w:w="10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eastAsia="新宋体"/>
                <w:sz w:val="22"/>
                <w:szCs w:val="22"/>
                <w:lang w:eastAsia="zh-CN"/>
              </w:rPr>
            </w:pP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售后服务</w:t>
            </w:r>
          </w:p>
        </w:tc>
        <w:tc>
          <w:tcPr>
            <w:tcW w:w="591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eastAsia="新宋体"/>
                <w:sz w:val="22"/>
                <w:szCs w:val="22"/>
              </w:rPr>
            </w:pP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1. 售后服务承诺完整，保修期、响应时限、维修保障、质保期外服务标准等明确，且优于一般要求的，得</w:t>
            </w: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分；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2. 承诺较完整，满足基本要求的，得5分；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3. 承诺内容较简单的，得2分；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4. 未提供不得分。</w:t>
            </w:r>
          </w:p>
        </w:tc>
        <w:tc>
          <w:tcPr>
            <w:tcW w:w="1027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eastAsia="新宋体"/>
                <w:sz w:val="22"/>
                <w:szCs w:val="22"/>
                <w:lang w:eastAsia="zh-CN"/>
              </w:rPr>
            </w:pP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/>
                <w:sz w:val="22"/>
                <w:szCs w:val="22"/>
              </w:rPr>
              <w:t>报价部分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eastAsia="新宋体"/>
                <w:sz w:val="22"/>
                <w:szCs w:val="22"/>
              </w:rPr>
            </w:pPr>
            <w:r>
              <w:rPr>
                <w:rFonts w:hint="eastAsia" w:eastAsia="新宋体"/>
                <w:sz w:val="22"/>
                <w:szCs w:val="22"/>
              </w:rPr>
              <w:t>合同总价</w:t>
            </w:r>
          </w:p>
        </w:tc>
        <w:tc>
          <w:tcPr>
            <w:tcW w:w="5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eastAsia="新宋体"/>
                <w:sz w:val="22"/>
                <w:szCs w:val="22"/>
              </w:rPr>
            </w:pP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报价得分＝（评标基准价／投标总报价）×30。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注：满足采购需求且有效报价最低者为评标基准价；报价超过项目预算金额</w:t>
            </w: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40</w:t>
            </w:r>
            <w:r>
              <w:rPr>
                <w:rFonts w:hint="default" w:eastAsia="新宋体"/>
                <w:sz w:val="22"/>
                <w:szCs w:val="22"/>
                <w:lang w:val="en-US" w:eastAsia="zh-CN"/>
              </w:rPr>
              <w:t>万元的，按无效报价处理。</w:t>
            </w:r>
          </w:p>
        </w:tc>
        <w:tc>
          <w:tcPr>
            <w:tcW w:w="10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eastAsia="新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新宋体"/>
                <w:sz w:val="22"/>
                <w:szCs w:val="22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eastAsiaTheme="majorEastAsia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 w:firstLine="4500" w:firstLineChars="250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2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GNSmEcABAACE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Style w:val="22"/>
                      </w:rPr>
                    </w:pPr>
                    <w:r>
                      <w:fldChar w:fldCharType="begin"/>
                    </w:r>
                    <w:r>
                      <w:rPr>
                        <w:rStyle w:val="2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2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7559F"/>
    <w:multiLevelType w:val="multilevel"/>
    <w:tmpl w:val="4427559F"/>
    <w:lvl w:ilvl="0" w:tentative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ind w:left="992" w:hanging="567"/>
      </w:pPr>
      <w:rPr>
        <w:rFonts w:hint="eastAsia"/>
      </w:rPr>
    </w:lvl>
    <w:lvl w:ilvl="3" w:tentative="0">
      <w:start w:val="1"/>
      <w:numFmt w:val="decimal"/>
      <w:lvlText w:val="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EAA837F"/>
    <w:multiLevelType w:val="singleLevel"/>
    <w:tmpl w:val="6EAA83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ZjRjNDFjZmU4ZmMzNDUzNjg1Njc0OTYxYWQyNzYifQ=="/>
  </w:docVars>
  <w:rsids>
    <w:rsidRoot w:val="765F3543"/>
    <w:rsid w:val="0002372E"/>
    <w:rsid w:val="001C026A"/>
    <w:rsid w:val="001E6288"/>
    <w:rsid w:val="00565B7C"/>
    <w:rsid w:val="005B022E"/>
    <w:rsid w:val="00607C2F"/>
    <w:rsid w:val="007237D2"/>
    <w:rsid w:val="008C73A7"/>
    <w:rsid w:val="008F645C"/>
    <w:rsid w:val="00920D80"/>
    <w:rsid w:val="00A75111"/>
    <w:rsid w:val="00B46018"/>
    <w:rsid w:val="00BA6954"/>
    <w:rsid w:val="00BC1B2C"/>
    <w:rsid w:val="00BD673A"/>
    <w:rsid w:val="00BD71A3"/>
    <w:rsid w:val="00CD20D1"/>
    <w:rsid w:val="00DB6DBB"/>
    <w:rsid w:val="00E31F83"/>
    <w:rsid w:val="00EB5A9F"/>
    <w:rsid w:val="00F05253"/>
    <w:rsid w:val="01237E6B"/>
    <w:rsid w:val="012D11FA"/>
    <w:rsid w:val="01501B54"/>
    <w:rsid w:val="029B0DFF"/>
    <w:rsid w:val="03E30E9C"/>
    <w:rsid w:val="049E3C57"/>
    <w:rsid w:val="04F335BF"/>
    <w:rsid w:val="05FC1909"/>
    <w:rsid w:val="063666D1"/>
    <w:rsid w:val="07B46C8C"/>
    <w:rsid w:val="08397C76"/>
    <w:rsid w:val="08C2670B"/>
    <w:rsid w:val="08FA30DF"/>
    <w:rsid w:val="08FF3B2A"/>
    <w:rsid w:val="09096E52"/>
    <w:rsid w:val="096176E4"/>
    <w:rsid w:val="09D71C85"/>
    <w:rsid w:val="0A3A3B85"/>
    <w:rsid w:val="0B7E7E10"/>
    <w:rsid w:val="0BE30724"/>
    <w:rsid w:val="0C2F2AB2"/>
    <w:rsid w:val="0CB42FB3"/>
    <w:rsid w:val="0D2129AC"/>
    <w:rsid w:val="0F1727CE"/>
    <w:rsid w:val="0F297E4E"/>
    <w:rsid w:val="10C33B0F"/>
    <w:rsid w:val="11A22AF1"/>
    <w:rsid w:val="11BE5CE9"/>
    <w:rsid w:val="12207EF9"/>
    <w:rsid w:val="12452986"/>
    <w:rsid w:val="147F4B23"/>
    <w:rsid w:val="15B067C7"/>
    <w:rsid w:val="174D6BC3"/>
    <w:rsid w:val="17C23687"/>
    <w:rsid w:val="18050F55"/>
    <w:rsid w:val="186E10C6"/>
    <w:rsid w:val="1A0A3F36"/>
    <w:rsid w:val="1A966217"/>
    <w:rsid w:val="1BB7118B"/>
    <w:rsid w:val="1BE51DF3"/>
    <w:rsid w:val="1C884DFC"/>
    <w:rsid w:val="1D815127"/>
    <w:rsid w:val="1E397E5F"/>
    <w:rsid w:val="1EBD7CFB"/>
    <w:rsid w:val="1EF82BE6"/>
    <w:rsid w:val="1F32342A"/>
    <w:rsid w:val="1FF63592"/>
    <w:rsid w:val="21A02E73"/>
    <w:rsid w:val="21A3443C"/>
    <w:rsid w:val="22E40170"/>
    <w:rsid w:val="23790DD4"/>
    <w:rsid w:val="24513EB3"/>
    <w:rsid w:val="25137EA0"/>
    <w:rsid w:val="25C565A5"/>
    <w:rsid w:val="26F86D13"/>
    <w:rsid w:val="27E33B42"/>
    <w:rsid w:val="281D1359"/>
    <w:rsid w:val="28C8445B"/>
    <w:rsid w:val="29F7320D"/>
    <w:rsid w:val="2A394F1D"/>
    <w:rsid w:val="2B510EB0"/>
    <w:rsid w:val="2CD70CF0"/>
    <w:rsid w:val="2D0E5941"/>
    <w:rsid w:val="2DB143D8"/>
    <w:rsid w:val="2E5D4A71"/>
    <w:rsid w:val="2ECA187B"/>
    <w:rsid w:val="2F0552FB"/>
    <w:rsid w:val="2F155C62"/>
    <w:rsid w:val="2FD70F95"/>
    <w:rsid w:val="325F25C5"/>
    <w:rsid w:val="330E3623"/>
    <w:rsid w:val="338A06D6"/>
    <w:rsid w:val="33A406B7"/>
    <w:rsid w:val="33C43E75"/>
    <w:rsid w:val="33D03323"/>
    <w:rsid w:val="34260F9E"/>
    <w:rsid w:val="346C19AA"/>
    <w:rsid w:val="351914C8"/>
    <w:rsid w:val="355C1CF8"/>
    <w:rsid w:val="36F321FD"/>
    <w:rsid w:val="374F08D4"/>
    <w:rsid w:val="38A8513B"/>
    <w:rsid w:val="39570DCA"/>
    <w:rsid w:val="399D259D"/>
    <w:rsid w:val="3A3F75B3"/>
    <w:rsid w:val="3A6B5BE1"/>
    <w:rsid w:val="3D9077EA"/>
    <w:rsid w:val="3E681A67"/>
    <w:rsid w:val="3E8C19E7"/>
    <w:rsid w:val="4171511B"/>
    <w:rsid w:val="42E305BF"/>
    <w:rsid w:val="444D3558"/>
    <w:rsid w:val="44F47C0E"/>
    <w:rsid w:val="45D12D99"/>
    <w:rsid w:val="460B6721"/>
    <w:rsid w:val="463C3C0D"/>
    <w:rsid w:val="465A2C5A"/>
    <w:rsid w:val="472965B9"/>
    <w:rsid w:val="498009B5"/>
    <w:rsid w:val="4B7B78BF"/>
    <w:rsid w:val="4C2D4689"/>
    <w:rsid w:val="4DFA6ADA"/>
    <w:rsid w:val="4F2B705E"/>
    <w:rsid w:val="4F7D2CF9"/>
    <w:rsid w:val="50203267"/>
    <w:rsid w:val="513A2E22"/>
    <w:rsid w:val="51937DAA"/>
    <w:rsid w:val="51E269DA"/>
    <w:rsid w:val="5237584C"/>
    <w:rsid w:val="53127C5D"/>
    <w:rsid w:val="53C214A4"/>
    <w:rsid w:val="55440772"/>
    <w:rsid w:val="561D2B01"/>
    <w:rsid w:val="570C0D53"/>
    <w:rsid w:val="58CD7AC9"/>
    <w:rsid w:val="5BBA0ED0"/>
    <w:rsid w:val="5BEE06F2"/>
    <w:rsid w:val="5C950094"/>
    <w:rsid w:val="5CD34356"/>
    <w:rsid w:val="5D101956"/>
    <w:rsid w:val="5D4C617C"/>
    <w:rsid w:val="5E700B8C"/>
    <w:rsid w:val="5E973A1B"/>
    <w:rsid w:val="5F9E02F3"/>
    <w:rsid w:val="5FFF230B"/>
    <w:rsid w:val="602C6A46"/>
    <w:rsid w:val="60482912"/>
    <w:rsid w:val="617666A5"/>
    <w:rsid w:val="61C12D16"/>
    <w:rsid w:val="61C37357"/>
    <w:rsid w:val="671458AE"/>
    <w:rsid w:val="69277FAC"/>
    <w:rsid w:val="693F3EFA"/>
    <w:rsid w:val="6A077828"/>
    <w:rsid w:val="6CA733C5"/>
    <w:rsid w:val="6CB3398E"/>
    <w:rsid w:val="6FC73E3F"/>
    <w:rsid w:val="70325B5A"/>
    <w:rsid w:val="720D612B"/>
    <w:rsid w:val="72F363AD"/>
    <w:rsid w:val="742C29DE"/>
    <w:rsid w:val="7464559D"/>
    <w:rsid w:val="749B5EFA"/>
    <w:rsid w:val="74DB2231"/>
    <w:rsid w:val="75A461B9"/>
    <w:rsid w:val="765F3543"/>
    <w:rsid w:val="792F12AF"/>
    <w:rsid w:val="7B057101"/>
    <w:rsid w:val="7B165D1B"/>
    <w:rsid w:val="7B670AC2"/>
    <w:rsid w:val="7F6A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黑体"/>
      <w:b/>
      <w:sz w:val="32"/>
      <w:szCs w:val="2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40" w:after="120" w:line="36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600" w:lineRule="exact"/>
      <w:jc w:val="center"/>
      <w:outlineLvl w:val="2"/>
    </w:pPr>
    <w:rPr>
      <w:rFonts w:eastAsia="仿宋_GB2312"/>
      <w:b/>
      <w:kern w:val="0"/>
      <w:sz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rPr>
      <w:rFonts w:ascii="Verdana" w:hAnsi="Verdana" w:eastAsia="仿宋_GB2312"/>
      <w:sz w:val="24"/>
      <w:lang w:eastAsia="en-US"/>
    </w:rPr>
  </w:style>
  <w:style w:type="paragraph" w:styleId="7">
    <w:name w:val="Body Text Indent"/>
    <w:basedOn w:val="1"/>
    <w:next w:val="8"/>
    <w:qFormat/>
    <w:uiPriority w:val="0"/>
    <w:pPr>
      <w:ind w:left="480" w:hanging="480" w:hangingChars="200"/>
    </w:pPr>
    <w:rPr>
      <w:sz w:val="24"/>
    </w:rPr>
  </w:style>
  <w:style w:type="paragraph" w:customStyle="1" w:styleId="8">
    <w:name w:val="正文文本首行缩进 21"/>
    <w:basedOn w:val="9"/>
    <w:qFormat/>
    <w:uiPriority w:val="99"/>
    <w:pPr>
      <w:tabs>
        <w:tab w:val="right" w:leader="dot" w:pos="8268"/>
      </w:tabs>
      <w:spacing w:line="200" w:lineRule="atLeast"/>
      <w:ind w:firstLine="420"/>
    </w:pPr>
    <w:rPr>
      <w:rFonts w:hAnsi="Courier New"/>
      <w:spacing w:val="-4"/>
      <w:sz w:val="18"/>
    </w:rPr>
  </w:style>
  <w:style w:type="paragraph" w:customStyle="1" w:styleId="9">
    <w:name w:val="正文缩进1"/>
    <w:basedOn w:val="10"/>
    <w:next w:val="8"/>
    <w:qFormat/>
    <w:uiPriority w:val="0"/>
    <w:pPr>
      <w:autoSpaceDE w:val="0"/>
      <w:autoSpaceDN w:val="0"/>
      <w:adjustRightInd w:val="0"/>
      <w:snapToGrid w:val="0"/>
      <w:spacing w:after="120"/>
      <w:ind w:left="420" w:leftChars="200" w:firstLine="480" w:firstLineChars="200"/>
    </w:pPr>
    <w:rPr>
      <w:sz w:val="24"/>
      <w:szCs w:val="21"/>
    </w:rPr>
  </w:style>
  <w:style w:type="paragraph" w:customStyle="1" w:styleId="10">
    <w:name w:val="正文1"/>
    <w:basedOn w:val="11"/>
    <w:next w:val="12"/>
    <w:qFormat/>
    <w:uiPriority w:val="0"/>
    <w:pPr>
      <w:widowControl/>
      <w:spacing w:line="360" w:lineRule="auto"/>
      <w:ind w:left="360" w:firstLine="420"/>
      <w:jc w:val="left"/>
    </w:pPr>
    <w:rPr>
      <w:rFonts w:ascii="宋体" w:hAnsi="宋体" w:cs="宋体"/>
      <w:kern w:val="0"/>
      <w:szCs w:val="20"/>
    </w:r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customStyle="1" w:styleId="12">
    <w:name w:val="标题 21"/>
    <w:basedOn w:val="10"/>
    <w:next w:val="10"/>
    <w:qFormat/>
    <w:uiPriority w:val="0"/>
    <w:pPr>
      <w:keepNext/>
      <w:keepLines/>
      <w:tabs>
        <w:tab w:val="left" w:pos="706"/>
      </w:tabs>
      <w:ind w:left="106" w:firstLine="454"/>
      <w:outlineLvl w:val="1"/>
    </w:pPr>
    <w:rPr>
      <w:rFonts w:ascii="Arial" w:hAnsi="Arial" w:eastAsia="??"/>
      <w:b/>
      <w:bCs/>
      <w:szCs w:val="32"/>
    </w:rPr>
  </w:style>
  <w:style w:type="paragraph" w:styleId="13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b/>
      <w:kern w:val="0"/>
      <w:szCs w:val="21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5"/>
    <w:next w:val="5"/>
    <w:link w:val="31"/>
    <w:qFormat/>
    <w:uiPriority w:val="0"/>
    <w:rPr>
      <w:b/>
      <w:bCs/>
    </w:rPr>
  </w:style>
  <w:style w:type="paragraph" w:styleId="17">
    <w:name w:val="Body Text First Indent 2"/>
    <w:basedOn w:val="7"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paragraph" w:customStyle="1" w:styleId="24">
    <w:name w:val="标题 3.1"/>
    <w:basedOn w:val="4"/>
    <w:qFormat/>
    <w:uiPriority w:val="0"/>
    <w:pPr>
      <w:tabs>
        <w:tab w:val="left" w:pos="1440"/>
        <w:tab w:val="left" w:pos="1620"/>
      </w:tabs>
      <w:jc w:val="both"/>
    </w:pPr>
    <w:rPr>
      <w:rFonts w:ascii="宋体" w:hAnsi="宋体" w:eastAsia="宋体"/>
      <w:color w:val="FF0000"/>
    </w:rPr>
  </w:style>
  <w:style w:type="paragraph" w:customStyle="1" w:styleId="25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段落"/>
    <w:basedOn w:val="1"/>
    <w:qFormat/>
    <w:uiPriority w:val="0"/>
    <w:pPr>
      <w:spacing w:before="25" w:beforeLines="25" w:after="25" w:afterLines="25" w:line="360" w:lineRule="auto"/>
      <w:ind w:firstLine="200" w:firstLineChars="200"/>
    </w:p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样式1"/>
    <w:basedOn w:val="1"/>
    <w:qFormat/>
    <w:uiPriority w:val="0"/>
    <w:pPr>
      <w:autoSpaceDE w:val="0"/>
      <w:autoSpaceDN w:val="0"/>
      <w:adjustRightInd w:val="0"/>
      <w:spacing w:line="400" w:lineRule="exact"/>
    </w:pPr>
    <w:rPr>
      <w:rFonts w:ascii="宋体" w:cs="宋体"/>
      <w:kern w:val="0"/>
    </w:rPr>
  </w:style>
  <w:style w:type="paragraph" w:customStyle="1" w:styleId="2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批注文字 字符"/>
    <w:basedOn w:val="20"/>
    <w:link w:val="5"/>
    <w:qFormat/>
    <w:uiPriority w:val="0"/>
    <w:rPr>
      <w:kern w:val="2"/>
      <w:sz w:val="21"/>
      <w:szCs w:val="24"/>
    </w:rPr>
  </w:style>
  <w:style w:type="character" w:customStyle="1" w:styleId="31">
    <w:name w:val="批注主题 字符"/>
    <w:basedOn w:val="30"/>
    <w:link w:val="16"/>
    <w:qFormat/>
    <w:uiPriority w:val="0"/>
    <w:rPr>
      <w:b/>
      <w:bCs/>
      <w:kern w:val="2"/>
      <w:sz w:val="21"/>
      <w:szCs w:val="24"/>
    </w:rPr>
  </w:style>
  <w:style w:type="paragraph" w:customStyle="1" w:styleId="32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33">
    <w:name w:val="null3"/>
    <w:qFormat/>
    <w:uiPriority w:val="0"/>
    <w:rPr>
      <w:rFonts w:hint="eastAsia" w:ascii="Times New Roman" w:hAnsi="Times New Roman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1496</Characters>
  <Lines>12</Lines>
  <Paragraphs>3</Paragraphs>
  <TotalTime>13</TotalTime>
  <ScaleCrop>false</ScaleCrop>
  <LinksUpToDate>false</LinksUpToDate>
  <CharactersWithSpaces>1755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2025-11-06T07:51:00Z</dcterms:created>
  <dc:creator>晓江</dc:creator>
  <cp:lastModifiedBy>pzt</cp:lastModifiedBy>
  <cp:lastPrinted>2026-03-04T02:01:00Z</cp:lastPrinted>
  <dcterms:modified xsi:type="dcterms:W3CDTF">2026-04-12T07:35:19Z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F4C4BFE6B2834AE4BDB268D6E012D870_13</vt:lpwstr>
  </property>
  <property fmtid="{D5CDD505-2E9C-101B-9397-08002B2CF9AE}" pid="4" name="KSOTemplateDocerSaveRecord">
    <vt:lpwstr>eyJoZGlkIjoiYzZiZGZjMjUyZTY4MjQ4OWVhYTZkZjllMGM3MDc5ZjQiLCJ1c2VySWQiOiI0MjA5OTU1OTMifQ==</vt:lpwstr>
  </property>
</Properties>
</file>