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C3728">
      <w:pPr>
        <w:rPr>
          <w:rFonts w:hint="eastAsia" w:ascii="黑体" w:eastAsia="黑体"/>
          <w:sz w:val="31"/>
          <w:szCs w:val="31"/>
        </w:rPr>
      </w:pPr>
      <w:r>
        <w:rPr>
          <w:rFonts w:hint="eastAsia" w:ascii="黑体" w:eastAsia="黑体"/>
          <w:sz w:val="31"/>
          <w:szCs w:val="31"/>
        </w:rPr>
        <w:t>附件4</w:t>
      </w:r>
    </w:p>
    <w:p w14:paraId="54DBAE62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甲醛含量比对试验作业指导书</w:t>
      </w:r>
    </w:p>
    <w:p w14:paraId="2D5A3C1B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76BDEA71">
      <w:pPr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1、本次比对样品为安培瓶装20mL水溶液标准样品。</w:t>
      </w:r>
    </w:p>
    <w:p w14:paraId="16A4E874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2、各检测机构应按照以下方法对样品进行制备，即用10mL干燥洁净移液管从安培瓶中移取浓样10mL于250mL容量瓶中，用纯水稀释定容至刻度，混匀后立即使用。</w:t>
      </w:r>
    </w:p>
    <w:p w14:paraId="7E4D831C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3、制备好的样品按照国家标准《公共场所卫生检验方法 第2部分：化学污染物》GB/T18204.2-20</w:t>
      </w:r>
      <w:r>
        <w:rPr>
          <w:rFonts w:hint="eastAsia" w:eastAsia="仿宋_GB2312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中AHMT分光光度法检测甲醛含量。</w:t>
      </w:r>
    </w:p>
    <w:p w14:paraId="492A5EFB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4、甲醛含量检测报告结果应是稀释后样品的测定值，浓度单位为mg/L，有效位数保留3位。</w:t>
      </w:r>
    </w:p>
    <w:p w14:paraId="36302D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5C47"/>
    <w:rsid w:val="00055C47"/>
    <w:rsid w:val="001947BF"/>
    <w:rsid w:val="005443C1"/>
    <w:rsid w:val="BFFD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2024-09-25T17:17:00Z</dcterms:created>
  <dc:creator>石乐平</dc:creator>
  <cp:lastModifiedBy>UOS</cp:lastModifiedBy>
  <dcterms:modified xsi:type="dcterms:W3CDTF">2026-04-21T08:28:17Z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3727A6435A337C8EA1C4E66919DA82B1_42</vt:lpwstr>
  </property>
</Properties>
</file>