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A2954">
      <w:pPr>
        <w:rPr>
          <w:rFonts w:eastAsia="黑体"/>
          <w:sz w:val="31"/>
          <w:szCs w:val="31"/>
        </w:rPr>
      </w:pPr>
      <w:r>
        <w:rPr>
          <w:rFonts w:eastAsia="黑体"/>
          <w:sz w:val="31"/>
          <w:szCs w:val="31"/>
        </w:rPr>
        <w:t>附件2</w:t>
      </w:r>
    </w:p>
    <w:p w14:paraId="47063D20">
      <w:pPr>
        <w:tabs>
          <w:tab w:val="left" w:pos="7776"/>
        </w:tabs>
        <w:spacing w:line="6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水泥比对试验项目和检验方法</w:t>
      </w:r>
    </w:p>
    <w:p w14:paraId="3C8328AF">
      <w:pPr>
        <w:tabs>
          <w:tab w:val="left" w:pos="7776"/>
        </w:tabs>
        <w:spacing w:line="620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2739"/>
        <w:gridCol w:w="3697"/>
      </w:tblGrid>
      <w:tr w14:paraId="6C5BF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079" w:type="dxa"/>
            <w:noWrap w:val="0"/>
            <w:vAlign w:val="center"/>
          </w:tcPr>
          <w:p w14:paraId="6F2E97E3">
            <w:pPr>
              <w:tabs>
                <w:tab w:val="left" w:pos="7776"/>
              </w:tabs>
              <w:spacing w:line="360" w:lineRule="auto"/>
              <w:jc w:val="center"/>
              <w:rPr>
                <w:rFonts w:eastAsia="仿宋_GB2312"/>
                <w:spacing w:val="-8"/>
                <w:sz w:val="32"/>
                <w:szCs w:val="32"/>
              </w:rPr>
            </w:pPr>
            <w:r>
              <w:rPr>
                <w:rFonts w:eastAsia="仿宋_GB2312"/>
                <w:spacing w:val="-8"/>
                <w:sz w:val="32"/>
                <w:szCs w:val="32"/>
              </w:rPr>
              <w:t>比对试验样品</w:t>
            </w:r>
          </w:p>
        </w:tc>
        <w:tc>
          <w:tcPr>
            <w:tcW w:w="2871" w:type="dxa"/>
            <w:noWrap w:val="0"/>
            <w:vAlign w:val="center"/>
          </w:tcPr>
          <w:p w14:paraId="44C9168D">
            <w:pPr>
              <w:tabs>
                <w:tab w:val="left" w:pos="7776"/>
              </w:tabs>
              <w:spacing w:line="360" w:lineRule="auto"/>
              <w:jc w:val="center"/>
              <w:rPr>
                <w:rFonts w:eastAsia="仿宋_GB2312"/>
                <w:spacing w:val="-8"/>
                <w:sz w:val="32"/>
                <w:szCs w:val="32"/>
              </w:rPr>
            </w:pPr>
            <w:r>
              <w:rPr>
                <w:rFonts w:eastAsia="仿宋_GB2312"/>
                <w:spacing w:val="-8"/>
                <w:sz w:val="32"/>
                <w:szCs w:val="32"/>
              </w:rPr>
              <w:t>比对试验项目</w:t>
            </w:r>
          </w:p>
        </w:tc>
        <w:tc>
          <w:tcPr>
            <w:tcW w:w="3798" w:type="dxa"/>
            <w:noWrap w:val="0"/>
            <w:vAlign w:val="center"/>
          </w:tcPr>
          <w:p w14:paraId="4A5B78A6">
            <w:pPr>
              <w:tabs>
                <w:tab w:val="left" w:pos="7776"/>
              </w:tabs>
              <w:spacing w:line="360" w:lineRule="auto"/>
              <w:jc w:val="center"/>
              <w:rPr>
                <w:rFonts w:eastAsia="仿宋_GB2312"/>
                <w:spacing w:val="-8"/>
                <w:sz w:val="32"/>
                <w:szCs w:val="32"/>
              </w:rPr>
            </w:pPr>
            <w:r>
              <w:rPr>
                <w:rFonts w:eastAsia="仿宋_GB2312"/>
                <w:spacing w:val="-8"/>
                <w:sz w:val="32"/>
                <w:szCs w:val="32"/>
              </w:rPr>
              <w:t>检验依据</w:t>
            </w:r>
          </w:p>
        </w:tc>
      </w:tr>
      <w:tr w14:paraId="25CE1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</w:trPr>
        <w:tc>
          <w:tcPr>
            <w:tcW w:w="2079" w:type="dxa"/>
            <w:vMerge w:val="restart"/>
            <w:noWrap w:val="0"/>
            <w:vAlign w:val="center"/>
          </w:tcPr>
          <w:p w14:paraId="05D1DA23">
            <w:pPr>
              <w:tabs>
                <w:tab w:val="left" w:pos="7776"/>
              </w:tabs>
              <w:spacing w:line="360" w:lineRule="auto"/>
              <w:jc w:val="center"/>
              <w:rPr>
                <w:rFonts w:eastAsia="仿宋_GB2312"/>
                <w:spacing w:val="-8"/>
                <w:sz w:val="32"/>
                <w:szCs w:val="32"/>
              </w:rPr>
            </w:pPr>
            <w:r>
              <w:rPr>
                <w:rFonts w:eastAsia="仿宋_GB2312"/>
                <w:spacing w:val="-8"/>
                <w:sz w:val="32"/>
                <w:szCs w:val="32"/>
              </w:rPr>
              <w:t>水泥</w:t>
            </w:r>
          </w:p>
          <w:p w14:paraId="6F4E9B88">
            <w:pPr>
              <w:tabs>
                <w:tab w:val="left" w:pos="7776"/>
              </w:tabs>
              <w:spacing w:line="360" w:lineRule="auto"/>
              <w:jc w:val="center"/>
              <w:rPr>
                <w:rFonts w:eastAsia="仿宋_GB2312"/>
                <w:spacing w:val="-8"/>
                <w:sz w:val="32"/>
                <w:szCs w:val="32"/>
              </w:rPr>
            </w:pPr>
          </w:p>
        </w:tc>
        <w:tc>
          <w:tcPr>
            <w:tcW w:w="2871" w:type="dxa"/>
            <w:noWrap w:val="0"/>
            <w:vAlign w:val="center"/>
          </w:tcPr>
          <w:p w14:paraId="63C5EDB2">
            <w:pPr>
              <w:tabs>
                <w:tab w:val="left" w:pos="7776"/>
              </w:tabs>
              <w:spacing w:line="360" w:lineRule="auto"/>
              <w:jc w:val="center"/>
              <w:rPr>
                <w:rFonts w:eastAsia="仿宋_GB2312"/>
                <w:spacing w:val="-8"/>
                <w:sz w:val="32"/>
                <w:szCs w:val="32"/>
              </w:rPr>
            </w:pPr>
            <w:r>
              <w:rPr>
                <w:rFonts w:eastAsia="仿宋_GB2312"/>
                <w:spacing w:val="-8"/>
                <w:sz w:val="32"/>
                <w:szCs w:val="32"/>
              </w:rPr>
              <w:t>比表面积</w:t>
            </w:r>
          </w:p>
        </w:tc>
        <w:tc>
          <w:tcPr>
            <w:tcW w:w="3798" w:type="dxa"/>
            <w:noWrap w:val="0"/>
            <w:vAlign w:val="top"/>
          </w:tcPr>
          <w:p w14:paraId="3F69DBAB">
            <w:pPr>
              <w:tabs>
                <w:tab w:val="left" w:pos="7776"/>
              </w:tabs>
              <w:spacing w:line="440" w:lineRule="exact"/>
              <w:rPr>
                <w:rFonts w:eastAsia="仿宋_GB2312"/>
                <w:spacing w:val="-8"/>
                <w:sz w:val="32"/>
                <w:szCs w:val="32"/>
              </w:rPr>
            </w:pPr>
            <w:r>
              <w:rPr>
                <w:rFonts w:eastAsia="仿宋_GB2312"/>
                <w:spacing w:val="-8"/>
                <w:sz w:val="32"/>
                <w:szCs w:val="32"/>
              </w:rPr>
              <w:t>《水泥比表面积测定方法 勃氏法》（GB/T8074）</w:t>
            </w:r>
          </w:p>
        </w:tc>
      </w:tr>
      <w:tr w14:paraId="1F81F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</w:trPr>
        <w:tc>
          <w:tcPr>
            <w:tcW w:w="2079" w:type="dxa"/>
            <w:vMerge w:val="continue"/>
            <w:noWrap w:val="0"/>
            <w:vAlign w:val="top"/>
          </w:tcPr>
          <w:p w14:paraId="0C73C151">
            <w:pPr>
              <w:tabs>
                <w:tab w:val="left" w:pos="7776"/>
              </w:tabs>
              <w:spacing w:line="360" w:lineRule="auto"/>
              <w:jc w:val="center"/>
              <w:rPr>
                <w:rFonts w:eastAsia="仿宋_GB2312"/>
                <w:spacing w:val="-8"/>
                <w:sz w:val="32"/>
                <w:szCs w:val="32"/>
              </w:rPr>
            </w:pPr>
          </w:p>
        </w:tc>
        <w:tc>
          <w:tcPr>
            <w:tcW w:w="2871" w:type="dxa"/>
            <w:noWrap w:val="0"/>
            <w:vAlign w:val="center"/>
          </w:tcPr>
          <w:p w14:paraId="181D6D2E">
            <w:pPr>
              <w:tabs>
                <w:tab w:val="left" w:pos="7776"/>
              </w:tabs>
              <w:spacing w:line="440" w:lineRule="exact"/>
              <w:rPr>
                <w:rFonts w:eastAsia="仿宋_GB2312"/>
                <w:spacing w:val="-8"/>
                <w:sz w:val="32"/>
                <w:szCs w:val="32"/>
              </w:rPr>
            </w:pPr>
            <w:r>
              <w:rPr>
                <w:rFonts w:eastAsia="仿宋_GB2312"/>
                <w:spacing w:val="-8"/>
                <w:sz w:val="32"/>
                <w:szCs w:val="32"/>
              </w:rPr>
              <w:t>标准稠度用水量、凝结时间</w:t>
            </w:r>
          </w:p>
        </w:tc>
        <w:tc>
          <w:tcPr>
            <w:tcW w:w="3798" w:type="dxa"/>
            <w:noWrap w:val="0"/>
            <w:vAlign w:val="top"/>
          </w:tcPr>
          <w:p w14:paraId="57AAA479">
            <w:pPr>
              <w:tabs>
                <w:tab w:val="left" w:pos="7776"/>
              </w:tabs>
              <w:spacing w:line="440" w:lineRule="exact"/>
              <w:rPr>
                <w:rFonts w:eastAsia="仿宋_GB2312"/>
                <w:spacing w:val="-8"/>
                <w:sz w:val="32"/>
                <w:szCs w:val="32"/>
              </w:rPr>
            </w:pPr>
            <w:r>
              <w:rPr>
                <w:rFonts w:eastAsia="仿宋_GB2312"/>
                <w:spacing w:val="-8"/>
                <w:sz w:val="32"/>
                <w:szCs w:val="32"/>
              </w:rPr>
              <w:t>《水泥标准稠度用水量、凝结时间、安定性检验方法》（GB/T1346）</w:t>
            </w:r>
          </w:p>
        </w:tc>
      </w:tr>
      <w:tr w14:paraId="10D3C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</w:trPr>
        <w:tc>
          <w:tcPr>
            <w:tcW w:w="2079" w:type="dxa"/>
            <w:vMerge w:val="continue"/>
            <w:noWrap w:val="0"/>
            <w:vAlign w:val="center"/>
          </w:tcPr>
          <w:p w14:paraId="28C2327C">
            <w:pPr>
              <w:tabs>
                <w:tab w:val="left" w:pos="7776"/>
              </w:tabs>
              <w:spacing w:line="360" w:lineRule="auto"/>
              <w:jc w:val="center"/>
              <w:rPr>
                <w:rFonts w:eastAsia="仿宋_GB2312"/>
                <w:spacing w:val="-8"/>
                <w:sz w:val="32"/>
                <w:szCs w:val="32"/>
              </w:rPr>
            </w:pPr>
          </w:p>
        </w:tc>
        <w:tc>
          <w:tcPr>
            <w:tcW w:w="2871" w:type="dxa"/>
            <w:noWrap w:val="0"/>
            <w:vAlign w:val="center"/>
          </w:tcPr>
          <w:p w14:paraId="34756D38">
            <w:pPr>
              <w:tabs>
                <w:tab w:val="left" w:pos="7776"/>
              </w:tabs>
              <w:spacing w:line="440" w:lineRule="exact"/>
              <w:jc w:val="center"/>
              <w:rPr>
                <w:rFonts w:eastAsia="仿宋_GB2312"/>
                <w:spacing w:val="-8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氯离子含量</w:t>
            </w:r>
          </w:p>
        </w:tc>
        <w:tc>
          <w:tcPr>
            <w:tcW w:w="3798" w:type="dxa"/>
            <w:noWrap w:val="0"/>
            <w:vAlign w:val="top"/>
          </w:tcPr>
          <w:p w14:paraId="2F98D249">
            <w:pPr>
              <w:tabs>
                <w:tab w:val="left" w:pos="7776"/>
              </w:tabs>
              <w:spacing w:line="440" w:lineRule="exact"/>
              <w:rPr>
                <w:rFonts w:eastAsia="仿宋_GB2312"/>
                <w:spacing w:val="-8"/>
                <w:sz w:val="32"/>
                <w:szCs w:val="32"/>
              </w:rPr>
            </w:pPr>
            <w:r>
              <w:rPr>
                <w:rFonts w:eastAsia="仿宋_GB2312"/>
                <w:spacing w:val="-8"/>
                <w:sz w:val="32"/>
                <w:szCs w:val="32"/>
              </w:rPr>
              <w:t>水泥化学分析方法 GB/T17</w:t>
            </w:r>
            <w:r>
              <w:rPr>
                <w:rFonts w:hint="eastAsia" w:eastAsia="仿宋_GB2312"/>
                <w:spacing w:val="-8"/>
                <w:sz w:val="32"/>
                <w:szCs w:val="32"/>
              </w:rPr>
              <w:t>6</w:t>
            </w:r>
            <w:r>
              <w:rPr>
                <w:rFonts w:eastAsia="仿宋_GB2312"/>
                <w:spacing w:val="-8"/>
                <w:sz w:val="32"/>
                <w:szCs w:val="32"/>
              </w:rPr>
              <w:t>-20</w:t>
            </w:r>
            <w:r>
              <w:rPr>
                <w:rFonts w:hint="eastAsia" w:eastAsia="仿宋_GB2312"/>
                <w:spacing w:val="-8"/>
                <w:sz w:val="32"/>
                <w:szCs w:val="32"/>
              </w:rPr>
              <w:t>17</w:t>
            </w:r>
          </w:p>
        </w:tc>
      </w:tr>
      <w:tr w14:paraId="4EEE9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</w:trPr>
        <w:tc>
          <w:tcPr>
            <w:tcW w:w="2079" w:type="dxa"/>
            <w:vMerge w:val="continue"/>
            <w:noWrap w:val="0"/>
            <w:vAlign w:val="top"/>
          </w:tcPr>
          <w:p w14:paraId="63ABA858">
            <w:pPr>
              <w:tabs>
                <w:tab w:val="left" w:pos="7776"/>
              </w:tabs>
              <w:spacing w:line="360" w:lineRule="auto"/>
              <w:rPr>
                <w:rFonts w:eastAsia="仿宋_GB2312"/>
                <w:spacing w:val="-8"/>
                <w:sz w:val="32"/>
                <w:szCs w:val="32"/>
              </w:rPr>
            </w:pPr>
          </w:p>
        </w:tc>
        <w:tc>
          <w:tcPr>
            <w:tcW w:w="2871" w:type="dxa"/>
            <w:noWrap w:val="0"/>
            <w:vAlign w:val="top"/>
          </w:tcPr>
          <w:p w14:paraId="6D1FA9F4">
            <w:pPr>
              <w:tabs>
                <w:tab w:val="left" w:pos="7776"/>
              </w:tabs>
              <w:spacing w:line="440" w:lineRule="exact"/>
              <w:rPr>
                <w:rFonts w:eastAsia="仿宋_GB2312"/>
                <w:spacing w:val="-8"/>
                <w:sz w:val="32"/>
                <w:szCs w:val="32"/>
              </w:rPr>
            </w:pPr>
            <w:r>
              <w:rPr>
                <w:rFonts w:eastAsia="仿宋_GB2312"/>
                <w:spacing w:val="-8"/>
                <w:sz w:val="32"/>
                <w:szCs w:val="32"/>
              </w:rPr>
              <w:t>水泥胶砂强度（3天强度、28天强度）</w:t>
            </w:r>
          </w:p>
        </w:tc>
        <w:tc>
          <w:tcPr>
            <w:tcW w:w="3798" w:type="dxa"/>
            <w:noWrap w:val="0"/>
            <w:vAlign w:val="top"/>
          </w:tcPr>
          <w:p w14:paraId="5A7EE57C">
            <w:pPr>
              <w:tabs>
                <w:tab w:val="left" w:pos="7776"/>
              </w:tabs>
              <w:spacing w:line="440" w:lineRule="exact"/>
              <w:rPr>
                <w:rFonts w:eastAsia="仿宋_GB2312"/>
                <w:spacing w:val="-8"/>
                <w:sz w:val="32"/>
                <w:szCs w:val="32"/>
              </w:rPr>
            </w:pPr>
            <w:r>
              <w:rPr>
                <w:rFonts w:eastAsia="仿宋_GB2312"/>
                <w:spacing w:val="-8"/>
                <w:sz w:val="32"/>
                <w:szCs w:val="32"/>
              </w:rPr>
              <w:t>GB/T 17671-2021《水泥胶砂强度检验方法》</w:t>
            </w:r>
          </w:p>
        </w:tc>
      </w:tr>
      <w:tr w14:paraId="7A95F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</w:trPr>
        <w:tc>
          <w:tcPr>
            <w:tcW w:w="2079" w:type="dxa"/>
            <w:vMerge w:val="continue"/>
            <w:noWrap w:val="0"/>
            <w:vAlign w:val="top"/>
          </w:tcPr>
          <w:p w14:paraId="6B715E66">
            <w:pPr>
              <w:tabs>
                <w:tab w:val="left" w:pos="7776"/>
              </w:tabs>
              <w:spacing w:line="360" w:lineRule="auto"/>
              <w:rPr>
                <w:rFonts w:eastAsia="仿宋_GB2312"/>
                <w:spacing w:val="-8"/>
                <w:sz w:val="32"/>
                <w:szCs w:val="32"/>
              </w:rPr>
            </w:pPr>
          </w:p>
        </w:tc>
        <w:tc>
          <w:tcPr>
            <w:tcW w:w="2871" w:type="dxa"/>
            <w:noWrap w:val="0"/>
            <w:vAlign w:val="center"/>
          </w:tcPr>
          <w:p w14:paraId="0294FC63">
            <w:pPr>
              <w:tabs>
                <w:tab w:val="left" w:pos="7776"/>
              </w:tabs>
              <w:spacing w:line="440" w:lineRule="exact"/>
              <w:jc w:val="center"/>
              <w:rPr>
                <w:rFonts w:eastAsia="仿宋_GB2312"/>
                <w:spacing w:val="-8"/>
                <w:sz w:val="32"/>
                <w:szCs w:val="32"/>
              </w:rPr>
            </w:pPr>
            <w:r>
              <w:rPr>
                <w:rFonts w:hint="eastAsia" w:eastAsia="仿宋_GB2312"/>
                <w:spacing w:val="-8"/>
                <w:sz w:val="32"/>
                <w:szCs w:val="32"/>
              </w:rPr>
              <w:t>细度</w:t>
            </w:r>
          </w:p>
        </w:tc>
        <w:tc>
          <w:tcPr>
            <w:tcW w:w="3798" w:type="dxa"/>
            <w:noWrap w:val="0"/>
            <w:vAlign w:val="top"/>
          </w:tcPr>
          <w:p w14:paraId="1AD04F4C">
            <w:pPr>
              <w:tabs>
                <w:tab w:val="left" w:pos="7776"/>
              </w:tabs>
              <w:spacing w:line="440" w:lineRule="exact"/>
              <w:rPr>
                <w:rFonts w:hint="eastAsia" w:eastAsia="仿宋_GB2312"/>
                <w:spacing w:val="-8"/>
                <w:sz w:val="32"/>
                <w:szCs w:val="32"/>
              </w:rPr>
            </w:pPr>
            <w:r>
              <w:rPr>
                <w:rFonts w:hint="eastAsia" w:eastAsia="仿宋_GB2312"/>
                <w:spacing w:val="-8"/>
                <w:sz w:val="32"/>
                <w:szCs w:val="32"/>
              </w:rPr>
              <w:t>水泥细度检验方法 筛析法</w:t>
            </w:r>
          </w:p>
          <w:p w14:paraId="28A2E253">
            <w:pPr>
              <w:tabs>
                <w:tab w:val="left" w:pos="7776"/>
              </w:tabs>
              <w:spacing w:line="440" w:lineRule="exact"/>
              <w:rPr>
                <w:rFonts w:eastAsia="仿宋_GB2312"/>
                <w:spacing w:val="-8"/>
                <w:sz w:val="32"/>
                <w:szCs w:val="32"/>
              </w:rPr>
            </w:pPr>
            <w:r>
              <w:rPr>
                <w:rFonts w:eastAsia="仿宋_GB2312"/>
                <w:spacing w:val="-8"/>
                <w:sz w:val="32"/>
                <w:szCs w:val="32"/>
              </w:rPr>
              <w:t>GB/T1</w:t>
            </w:r>
            <w:r>
              <w:rPr>
                <w:rFonts w:hint="eastAsia" w:eastAsia="仿宋_GB2312"/>
                <w:spacing w:val="-8"/>
                <w:sz w:val="32"/>
                <w:szCs w:val="32"/>
              </w:rPr>
              <w:t>34</w:t>
            </w:r>
            <w:r>
              <w:rPr>
                <w:rFonts w:eastAsia="仿宋_GB2312"/>
                <w:spacing w:val="-8"/>
                <w:sz w:val="32"/>
                <w:szCs w:val="32"/>
              </w:rPr>
              <w:t>5-20</w:t>
            </w:r>
            <w:r>
              <w:rPr>
                <w:rFonts w:hint="eastAsia" w:eastAsia="仿宋_GB2312"/>
                <w:spacing w:val="-8"/>
                <w:sz w:val="32"/>
                <w:szCs w:val="32"/>
              </w:rPr>
              <w:t>05</w:t>
            </w:r>
          </w:p>
        </w:tc>
      </w:tr>
    </w:tbl>
    <w:p w14:paraId="7D0E22A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yN2NjOTk5MDQ3OTM1Nzk5MTJlYmY2OGY0YzE0YjQifQ=="/>
  </w:docVars>
  <w:rsids>
    <w:rsidRoot w:val="11E729B0"/>
    <w:rsid w:val="11E7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2024-10-09T07:32:00Z</dcterms:created>
  <dc:creator>陈静仪</dc:creator>
  <cp:lastModifiedBy>陈静仪</cp:lastModifiedBy>
  <dcterms:modified xsi:type="dcterms:W3CDTF">2024-10-09T07:33:10Z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9DA48C2CCE82493580FFCB37A1B6BC60_11</vt:lpwstr>
  </property>
</Properties>
</file>