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DB1B2">
      <w:pPr>
        <w:keepNext w:val="0"/>
        <w:keepLines w:val="0"/>
        <w:pageBreakBefore w:val="0"/>
        <w:widowControl/>
        <w:numPr>
          <w:ilvl w:val="255"/>
          <w:numId w:val="0"/>
        </w:numPr>
        <w:kinsoku/>
        <w:wordWrap/>
        <w:overflowPunct/>
        <w:topLinePunct w:val="0"/>
        <w:autoSpaceDE/>
        <w:autoSpaceDN/>
        <w:bidi w:val="0"/>
        <w:adjustRightInd/>
        <w:snapToGrid w:val="0"/>
        <w:spacing w:line="600" w:lineRule="exact"/>
        <w:jc w:val="center"/>
        <w:textAlignment w:val="auto"/>
        <w:rPr>
          <w:rFonts w:ascii="Times New Roman" w:hAnsi="Times New Roman" w:eastAsia="仿宋_GB2312"/>
          <w:b/>
          <w:bCs/>
          <w:sz w:val="28"/>
          <w:szCs w:val="28"/>
        </w:rPr>
      </w:pPr>
      <w:r>
        <w:rPr>
          <w:rFonts w:ascii="Times New Roman" w:hAnsi="Times New Roman" w:eastAsia="方正小标宋简体"/>
          <w:color w:val="000000"/>
          <w:sz w:val="44"/>
          <w:szCs w:val="44"/>
        </w:rPr>
        <w:t>评审标准</w:t>
      </w:r>
    </w:p>
    <w:p w14:paraId="0A991046">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sz w:val="32"/>
          <w:szCs w:val="32"/>
        </w:rPr>
      </w:pPr>
    </w:p>
    <w:p w14:paraId="7692FF00">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sz w:val="32"/>
          <w:szCs w:val="32"/>
        </w:rPr>
      </w:pPr>
      <w:bookmarkStart w:id="0" w:name="_GoBack"/>
      <w:bookmarkEnd w:id="0"/>
      <w:r>
        <w:rPr>
          <w:rFonts w:ascii="Times New Roman" w:hAnsi="Times New Roman" w:eastAsia="仿宋_GB2312"/>
          <w:sz w:val="32"/>
          <w:szCs w:val="32"/>
        </w:rPr>
        <w:t>采购人成立评审小组，对供应商响应文件进行评审。得分为评审小组成员评分的算术平均分，分值保留小数点后两位。</w:t>
      </w:r>
    </w:p>
    <w:p w14:paraId="322E5E59">
      <w:pPr>
        <w:keepNext w:val="0"/>
        <w:keepLines w:val="0"/>
        <w:pageBreakBefore w:val="0"/>
        <w:widowControl/>
        <w:numPr>
          <w:ilvl w:val="255"/>
          <w:numId w:val="0"/>
        </w:numPr>
        <w:kinsoku/>
        <w:wordWrap/>
        <w:overflowPunct/>
        <w:topLinePunct w:val="0"/>
        <w:autoSpaceDE/>
        <w:autoSpaceDN/>
        <w:bidi w:val="0"/>
        <w:adjustRightInd/>
        <w:snapToGrid/>
        <w:spacing w:line="240" w:lineRule="auto"/>
        <w:ind w:firstLine="784" w:firstLineChars="245"/>
        <w:textAlignment w:val="auto"/>
        <w:rPr>
          <w:rFonts w:ascii="Times New Roman" w:hAnsi="Times New Roman" w:eastAsia="黑体"/>
          <w:sz w:val="32"/>
          <w:szCs w:val="32"/>
        </w:rPr>
      </w:pPr>
      <w:r>
        <w:rPr>
          <w:rFonts w:ascii="Times New Roman" w:hAnsi="Times New Roman" w:eastAsia="黑体"/>
          <w:sz w:val="32"/>
          <w:szCs w:val="32"/>
        </w:rPr>
        <w:t>一、评审原则</w:t>
      </w:r>
    </w:p>
    <w:p w14:paraId="465C3206">
      <w:pPr>
        <w:keepNext w:val="0"/>
        <w:keepLines w:val="0"/>
        <w:pageBreakBefore w:val="0"/>
        <w:kinsoku/>
        <w:wordWrap/>
        <w:overflowPunct/>
        <w:topLinePunct w:val="0"/>
        <w:autoSpaceDE/>
        <w:autoSpaceDN/>
        <w:bidi w:val="0"/>
        <w:adjustRightInd/>
        <w:snapToGrid/>
        <w:spacing w:line="240" w:lineRule="auto"/>
        <w:ind w:firstLine="784" w:firstLineChars="245"/>
        <w:textAlignment w:val="auto"/>
        <w:rPr>
          <w:rFonts w:ascii="Times New Roman" w:hAnsi="Times New Roman" w:eastAsia="仿宋_GB2312"/>
          <w:sz w:val="32"/>
          <w:szCs w:val="32"/>
        </w:rPr>
      </w:pPr>
      <w:r>
        <w:rPr>
          <w:rFonts w:ascii="Times New Roman" w:hAnsi="Times New Roman" w:eastAsia="仿宋_GB2312"/>
          <w:sz w:val="32"/>
          <w:szCs w:val="32"/>
        </w:rPr>
        <w:t>本次采购采用百分制综合评分法，即在供应商最大限度地满足项目需求书实质性要求的基础上，按照评分标准的各项因素进行综合评审后，以评审总得分最高的供应商和次高的供应商作为第一和第二排序候选人的评分方法</w:t>
      </w:r>
      <w:r>
        <w:rPr>
          <w:rFonts w:hint="eastAsia" w:ascii="Times New Roman" w:hAnsi="Times New Roman" w:eastAsia="仿宋_GB2312"/>
          <w:sz w:val="32"/>
          <w:szCs w:val="32"/>
        </w:rPr>
        <w:t>（若评审总得分相同，以报价低者优先）</w:t>
      </w:r>
      <w:r>
        <w:rPr>
          <w:rFonts w:ascii="Times New Roman" w:hAnsi="Times New Roman" w:eastAsia="仿宋_GB2312"/>
          <w:sz w:val="32"/>
          <w:szCs w:val="32"/>
        </w:rPr>
        <w:t>。根据采购要求，</w:t>
      </w:r>
      <w:r>
        <w:rPr>
          <w:rFonts w:ascii="Times New Roman" w:hAnsi="Times New Roman" w:eastAsia="仿宋_GB2312"/>
          <w:b/>
          <w:bCs/>
          <w:sz w:val="32"/>
          <w:szCs w:val="32"/>
        </w:rPr>
        <w:t>总分设定为100分</w:t>
      </w:r>
      <w:r>
        <w:rPr>
          <w:rFonts w:hint="eastAsia" w:ascii="Times New Roman" w:hAnsi="Times New Roman" w:eastAsia="仿宋_GB2312"/>
          <w:b/>
          <w:bCs/>
          <w:sz w:val="32"/>
          <w:szCs w:val="32"/>
        </w:rPr>
        <w:t>：</w:t>
      </w:r>
      <w:r>
        <w:rPr>
          <w:rFonts w:ascii="Times New Roman" w:hAnsi="Times New Roman" w:eastAsia="仿宋_GB2312"/>
          <w:b/>
          <w:bCs/>
          <w:sz w:val="32"/>
          <w:szCs w:val="32"/>
        </w:rPr>
        <w:t>商务标</w:t>
      </w:r>
      <w:r>
        <w:rPr>
          <w:rFonts w:hint="eastAsia" w:ascii="Times New Roman" w:hAnsi="Times New Roman" w:eastAsia="仿宋_GB2312"/>
          <w:b/>
          <w:bCs/>
          <w:sz w:val="32"/>
          <w:szCs w:val="32"/>
          <w:lang w:val="en-US" w:eastAsia="zh-CN"/>
        </w:rPr>
        <w:t>45</w:t>
      </w:r>
      <w:r>
        <w:rPr>
          <w:rFonts w:ascii="Times New Roman" w:hAnsi="Times New Roman" w:eastAsia="仿宋_GB2312"/>
          <w:b/>
          <w:bCs/>
          <w:sz w:val="32"/>
          <w:szCs w:val="32"/>
        </w:rPr>
        <w:t>分（权值</w:t>
      </w:r>
      <w:r>
        <w:rPr>
          <w:rFonts w:hint="eastAsia" w:ascii="Times New Roman" w:hAnsi="Times New Roman" w:eastAsia="仿宋_GB2312"/>
          <w:b/>
          <w:bCs/>
          <w:sz w:val="32"/>
          <w:szCs w:val="32"/>
          <w:lang w:val="en-US" w:eastAsia="zh-CN"/>
        </w:rPr>
        <w:t>45</w:t>
      </w:r>
      <w:r>
        <w:rPr>
          <w:rFonts w:ascii="Times New Roman" w:hAnsi="Times New Roman" w:eastAsia="仿宋_GB2312"/>
          <w:b/>
          <w:bCs/>
          <w:sz w:val="32"/>
          <w:szCs w:val="32"/>
        </w:rPr>
        <w:t>%），技术标</w:t>
      </w:r>
      <w:r>
        <w:rPr>
          <w:rFonts w:hint="eastAsia" w:ascii="Times New Roman" w:hAnsi="Times New Roman" w:eastAsia="仿宋_GB2312"/>
          <w:b/>
          <w:bCs/>
          <w:sz w:val="32"/>
          <w:szCs w:val="32"/>
          <w:lang w:val="en-US" w:eastAsia="zh-CN"/>
        </w:rPr>
        <w:t>45</w:t>
      </w:r>
      <w:r>
        <w:rPr>
          <w:rFonts w:ascii="Times New Roman" w:hAnsi="Times New Roman" w:eastAsia="仿宋_GB2312"/>
          <w:b/>
          <w:bCs/>
          <w:sz w:val="32"/>
          <w:szCs w:val="32"/>
        </w:rPr>
        <w:t>分（权值</w:t>
      </w:r>
      <w:r>
        <w:rPr>
          <w:rFonts w:hint="eastAsia" w:ascii="Times New Roman" w:hAnsi="Times New Roman" w:eastAsia="仿宋_GB2312"/>
          <w:b/>
          <w:bCs/>
          <w:sz w:val="32"/>
          <w:szCs w:val="32"/>
          <w:lang w:val="en-US" w:eastAsia="zh-CN"/>
        </w:rPr>
        <w:t>45</w:t>
      </w:r>
      <w:r>
        <w:rPr>
          <w:rFonts w:ascii="Times New Roman" w:hAnsi="Times New Roman" w:eastAsia="仿宋_GB2312"/>
          <w:b/>
          <w:bCs/>
          <w:sz w:val="32"/>
          <w:szCs w:val="32"/>
        </w:rPr>
        <w:t>%），报价得分</w:t>
      </w:r>
      <w:r>
        <w:rPr>
          <w:rFonts w:hint="eastAsia" w:ascii="Times New Roman" w:hAnsi="Times New Roman" w:eastAsia="仿宋_GB2312"/>
          <w:b/>
          <w:bCs/>
          <w:sz w:val="32"/>
          <w:szCs w:val="32"/>
          <w:lang w:val="en-US" w:eastAsia="zh-CN"/>
        </w:rPr>
        <w:t>1</w:t>
      </w:r>
      <w:r>
        <w:rPr>
          <w:rFonts w:hint="eastAsia" w:ascii="Times New Roman" w:hAnsi="Times New Roman" w:eastAsia="仿宋_GB2312"/>
          <w:b/>
          <w:bCs/>
          <w:sz w:val="32"/>
          <w:szCs w:val="32"/>
        </w:rPr>
        <w:t>0</w:t>
      </w:r>
      <w:r>
        <w:rPr>
          <w:rFonts w:ascii="Times New Roman" w:hAnsi="Times New Roman" w:eastAsia="仿宋_GB2312"/>
          <w:b/>
          <w:bCs/>
          <w:sz w:val="32"/>
          <w:szCs w:val="32"/>
        </w:rPr>
        <w:t>分（权值</w:t>
      </w:r>
      <w:r>
        <w:rPr>
          <w:rFonts w:hint="eastAsia" w:ascii="Times New Roman" w:hAnsi="Times New Roman" w:eastAsia="仿宋_GB2312"/>
          <w:b/>
          <w:bCs/>
          <w:sz w:val="32"/>
          <w:szCs w:val="32"/>
          <w:lang w:val="en-US" w:eastAsia="zh-CN"/>
        </w:rPr>
        <w:t>1</w:t>
      </w:r>
      <w:r>
        <w:rPr>
          <w:rFonts w:hint="eastAsia" w:ascii="Times New Roman" w:hAnsi="Times New Roman" w:eastAsia="仿宋_GB2312"/>
          <w:b/>
          <w:bCs/>
          <w:sz w:val="32"/>
          <w:szCs w:val="32"/>
        </w:rPr>
        <w:t>0</w:t>
      </w:r>
      <w:r>
        <w:rPr>
          <w:rFonts w:ascii="Times New Roman" w:hAnsi="Times New Roman" w:eastAsia="仿宋_GB2312"/>
          <w:b/>
          <w:bCs/>
          <w:sz w:val="32"/>
          <w:szCs w:val="32"/>
        </w:rPr>
        <w:t>%）</w:t>
      </w:r>
      <w:r>
        <w:rPr>
          <w:rFonts w:ascii="Times New Roman" w:hAnsi="Times New Roman" w:eastAsia="仿宋_GB2312"/>
          <w:sz w:val="32"/>
          <w:szCs w:val="32"/>
        </w:rPr>
        <w:t>。</w:t>
      </w:r>
    </w:p>
    <w:p w14:paraId="32543353">
      <w:pPr>
        <w:keepNext w:val="0"/>
        <w:keepLines w:val="0"/>
        <w:pageBreakBefore w:val="0"/>
        <w:kinsoku/>
        <w:wordWrap/>
        <w:overflowPunct/>
        <w:topLinePunct w:val="0"/>
        <w:autoSpaceDE/>
        <w:autoSpaceDN/>
        <w:bidi w:val="0"/>
        <w:adjustRightInd/>
        <w:snapToGrid/>
        <w:spacing w:line="240" w:lineRule="auto"/>
        <w:ind w:firstLine="784" w:firstLineChars="245"/>
        <w:textAlignment w:val="auto"/>
        <w:rPr>
          <w:rFonts w:ascii="Times New Roman" w:hAnsi="Times New Roman" w:eastAsia="黑体"/>
          <w:sz w:val="32"/>
          <w:szCs w:val="32"/>
        </w:rPr>
      </w:pPr>
      <w:r>
        <w:rPr>
          <w:rFonts w:ascii="Times New Roman" w:hAnsi="Times New Roman" w:eastAsia="黑体"/>
          <w:sz w:val="32"/>
          <w:szCs w:val="32"/>
        </w:rPr>
        <w:t>二、评分方式</w:t>
      </w:r>
    </w:p>
    <w:p w14:paraId="0A8EACF1">
      <w:pPr>
        <w:keepNext w:val="0"/>
        <w:keepLines w:val="0"/>
        <w:pageBreakBefore w:val="0"/>
        <w:kinsoku/>
        <w:wordWrap/>
        <w:overflowPunct/>
        <w:topLinePunct w:val="0"/>
        <w:autoSpaceDE/>
        <w:autoSpaceDN/>
        <w:bidi w:val="0"/>
        <w:adjustRightInd/>
        <w:snapToGrid/>
        <w:spacing w:line="240" w:lineRule="auto"/>
        <w:ind w:firstLine="784" w:firstLineChars="245"/>
        <w:textAlignment w:val="auto"/>
        <w:rPr>
          <w:rFonts w:ascii="Times New Roman" w:hAnsi="Times New Roman" w:eastAsia="仿宋_GB2312"/>
          <w:sz w:val="32"/>
          <w:szCs w:val="32"/>
        </w:rPr>
      </w:pPr>
      <w:r>
        <w:rPr>
          <w:rFonts w:ascii="Times New Roman" w:hAnsi="Times New Roman" w:eastAsia="仿宋_GB2312"/>
          <w:sz w:val="32"/>
          <w:szCs w:val="32"/>
        </w:rPr>
        <w:t>根据评审原则，所有响应文件的评分按商务部分、技术部分和报价部分三个部分分别打分的方式进行。</w:t>
      </w:r>
    </w:p>
    <w:p w14:paraId="12BB0172">
      <w:pPr>
        <w:keepNext w:val="0"/>
        <w:keepLines w:val="0"/>
        <w:pageBreakBefore w:val="0"/>
        <w:kinsoku/>
        <w:wordWrap/>
        <w:overflowPunct/>
        <w:topLinePunct w:val="0"/>
        <w:autoSpaceDE/>
        <w:autoSpaceDN/>
        <w:bidi w:val="0"/>
        <w:adjustRightInd/>
        <w:snapToGrid/>
        <w:spacing w:line="240" w:lineRule="auto"/>
        <w:ind w:firstLine="784" w:firstLineChars="245"/>
        <w:textAlignment w:val="auto"/>
        <w:rPr>
          <w:rFonts w:ascii="Times New Roman" w:hAnsi="Times New Roman"/>
          <w:sz w:val="32"/>
          <w:szCs w:val="32"/>
        </w:rPr>
      </w:pPr>
      <w:r>
        <w:rPr>
          <w:rFonts w:ascii="Times New Roman" w:hAnsi="Times New Roman" w:eastAsia="仿宋_GB2312"/>
          <w:sz w:val="32"/>
          <w:szCs w:val="32"/>
          <w:highlight w:val="none"/>
        </w:rPr>
        <w:t>评标总得分（100分）=商务部分（</w:t>
      </w:r>
      <w:r>
        <w:rPr>
          <w:rFonts w:hint="eastAsia" w:ascii="Times New Roman" w:hAnsi="Times New Roman" w:eastAsia="仿宋_GB2312"/>
          <w:sz w:val="32"/>
          <w:szCs w:val="32"/>
          <w:highlight w:val="none"/>
          <w:lang w:val="en-US" w:eastAsia="zh-CN"/>
        </w:rPr>
        <w:t>45</w:t>
      </w:r>
      <w:r>
        <w:rPr>
          <w:rFonts w:ascii="Times New Roman" w:hAnsi="Times New Roman" w:eastAsia="仿宋_GB2312"/>
          <w:sz w:val="32"/>
          <w:szCs w:val="32"/>
          <w:highlight w:val="none"/>
        </w:rPr>
        <w:t>分）+技术部分（</w:t>
      </w:r>
      <w:r>
        <w:rPr>
          <w:rFonts w:hint="eastAsia" w:ascii="Times New Roman" w:hAnsi="Times New Roman" w:eastAsia="仿宋_GB2312"/>
          <w:sz w:val="32"/>
          <w:szCs w:val="32"/>
          <w:highlight w:val="none"/>
          <w:lang w:val="en-US" w:eastAsia="zh-CN"/>
        </w:rPr>
        <w:t>45</w:t>
      </w:r>
      <w:r>
        <w:rPr>
          <w:rFonts w:ascii="Times New Roman" w:hAnsi="Times New Roman" w:eastAsia="仿宋_GB2312"/>
          <w:sz w:val="32"/>
          <w:szCs w:val="32"/>
          <w:highlight w:val="none"/>
        </w:rPr>
        <w:t>分）+报价部分（</w:t>
      </w: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0</w:t>
      </w:r>
      <w:r>
        <w:rPr>
          <w:rFonts w:ascii="Times New Roman" w:hAnsi="Times New Roman" w:eastAsia="仿宋_GB2312"/>
          <w:sz w:val="32"/>
          <w:szCs w:val="32"/>
          <w:highlight w:val="none"/>
        </w:rPr>
        <w:t>分）。</w:t>
      </w:r>
    </w:p>
    <w:tbl>
      <w:tblPr>
        <w:tblStyle w:val="5"/>
        <w:tblW w:w="9600" w:type="dxa"/>
        <w:tblInd w:w="-5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21"/>
        <w:gridCol w:w="2173"/>
        <w:gridCol w:w="6206"/>
      </w:tblGrid>
      <w:tr w14:paraId="2DDA5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1" w:type="dxa"/>
          </w:tcPr>
          <w:p w14:paraId="7C24D476">
            <w:pPr>
              <w:widowControl/>
              <w:jc w:val="center"/>
              <w:textAlignment w:val="center"/>
              <w:rPr>
                <w:rFonts w:hint="eastAsia" w:ascii="Times New Roman" w:hAnsi="Times New Roman" w:eastAsia="宋体" w:cs="宋体"/>
                <w:b/>
                <w:bCs/>
                <w:color w:val="000000"/>
                <w:kern w:val="0"/>
                <w:sz w:val="24"/>
                <w:highlight w:val="none"/>
                <w:lang w:bidi="ar"/>
              </w:rPr>
            </w:pPr>
            <w:r>
              <w:rPr>
                <w:rFonts w:hint="eastAsia" w:ascii="Times New Roman" w:hAnsi="Times New Roman"/>
              </w:rPr>
              <w:t>评审因素</w:t>
            </w:r>
          </w:p>
        </w:tc>
        <w:tc>
          <w:tcPr>
            <w:tcW w:w="2173" w:type="dxa"/>
          </w:tcPr>
          <w:p w14:paraId="3306B95B">
            <w:pPr>
              <w:widowControl/>
              <w:jc w:val="center"/>
              <w:textAlignment w:val="center"/>
              <w:rPr>
                <w:rFonts w:hint="eastAsia" w:ascii="Times New Roman" w:hAnsi="Times New Roman" w:eastAsia="宋体" w:cs="宋体"/>
                <w:b/>
                <w:bCs/>
                <w:color w:val="000000"/>
                <w:kern w:val="0"/>
                <w:sz w:val="24"/>
                <w:highlight w:val="none"/>
                <w:lang w:eastAsia="zh-CN" w:bidi="ar"/>
              </w:rPr>
            </w:pPr>
            <w:r>
              <w:rPr>
                <w:rFonts w:hint="eastAsia" w:ascii="Times New Roman" w:hAnsi="Times New Roman" w:eastAsia="宋体" w:cs="宋体"/>
                <w:b/>
                <w:bCs/>
                <w:color w:val="000000"/>
                <w:kern w:val="0"/>
                <w:sz w:val="24"/>
                <w:highlight w:val="none"/>
                <w:lang w:eastAsia="zh-CN" w:bidi="ar"/>
              </w:rPr>
              <w:t>项目分值</w:t>
            </w:r>
          </w:p>
        </w:tc>
        <w:tc>
          <w:tcPr>
            <w:tcW w:w="6206" w:type="dxa"/>
          </w:tcPr>
          <w:p w14:paraId="6415D383">
            <w:pPr>
              <w:widowControl/>
              <w:jc w:val="center"/>
              <w:textAlignment w:val="center"/>
              <w:rPr>
                <w:rFonts w:hint="eastAsia" w:ascii="Times New Roman" w:hAnsi="Times New Roman" w:eastAsia="宋体" w:cs="宋体"/>
                <w:b/>
                <w:bCs/>
                <w:color w:val="000000"/>
                <w:kern w:val="0"/>
                <w:sz w:val="24"/>
                <w:highlight w:val="none"/>
                <w:lang w:eastAsia="zh-CN" w:bidi="ar"/>
              </w:rPr>
            </w:pPr>
            <w:r>
              <w:rPr>
                <w:rFonts w:hint="eastAsia" w:ascii="Times New Roman" w:hAnsi="Times New Roman" w:eastAsia="宋体" w:cs="宋体"/>
                <w:b/>
                <w:bCs/>
                <w:color w:val="000000"/>
                <w:kern w:val="0"/>
                <w:sz w:val="24"/>
                <w:highlight w:val="none"/>
                <w:lang w:bidi="ar"/>
              </w:rPr>
              <w:t>评</w:t>
            </w:r>
            <w:r>
              <w:rPr>
                <w:rFonts w:hint="eastAsia" w:ascii="Times New Roman" w:hAnsi="Times New Roman" w:eastAsia="宋体" w:cs="宋体"/>
                <w:b/>
                <w:bCs/>
                <w:color w:val="000000"/>
                <w:kern w:val="0"/>
                <w:sz w:val="24"/>
                <w:highlight w:val="none"/>
                <w:lang w:eastAsia="zh-CN" w:bidi="ar"/>
              </w:rPr>
              <w:t>分标准</w:t>
            </w:r>
          </w:p>
        </w:tc>
      </w:tr>
      <w:tr w14:paraId="5790E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1" w:type="dxa"/>
            <w:vMerge w:val="restart"/>
          </w:tcPr>
          <w:p w14:paraId="3F7D56E7">
            <w:pPr>
              <w:jc w:val="center"/>
              <w:rPr>
                <w:rFonts w:hint="eastAsia" w:ascii="Times New Roman" w:hAnsi="Times New Roman" w:eastAsiaTheme="minorEastAsia"/>
                <w:lang w:eastAsia="zh-CN"/>
              </w:rPr>
            </w:pPr>
            <w:r>
              <w:rPr>
                <w:rFonts w:ascii="Times New Roman" w:hAnsi="Times New Roman"/>
              </w:rPr>
              <w:t>技术部分</w:t>
            </w:r>
            <w:r>
              <w:rPr>
                <w:rFonts w:hint="eastAsia" w:ascii="Times New Roman" w:hAnsi="Times New Roman"/>
                <w:lang w:eastAsia="zh-CN"/>
              </w:rPr>
              <w:t>（</w:t>
            </w:r>
            <w:r>
              <w:rPr>
                <w:rFonts w:ascii="Times New Roman" w:hAnsi="Times New Roman"/>
              </w:rPr>
              <w:t>45分</w:t>
            </w:r>
            <w:r>
              <w:rPr>
                <w:rFonts w:hint="eastAsia" w:ascii="Times New Roman" w:hAnsi="Times New Roman"/>
                <w:lang w:eastAsia="zh-CN"/>
              </w:rPr>
              <w:t>）</w:t>
            </w:r>
          </w:p>
        </w:tc>
        <w:tc>
          <w:tcPr>
            <w:tcW w:w="2173" w:type="dxa"/>
          </w:tcPr>
          <w:p w14:paraId="7AC32032">
            <w:pPr>
              <w:jc w:val="left"/>
              <w:rPr>
                <w:rFonts w:ascii="Times New Roman" w:hAnsi="Times New Roman"/>
              </w:rPr>
            </w:pPr>
            <w:r>
              <w:rPr>
                <w:rFonts w:ascii="Times New Roman" w:hAnsi="Times New Roman"/>
              </w:rPr>
              <w:t>需求理解 (8.0分)，（等次分值选择：0.0;2.0;5.0;8.0;）</w:t>
            </w:r>
          </w:p>
        </w:tc>
        <w:tc>
          <w:tcPr>
            <w:tcW w:w="6206" w:type="dxa"/>
          </w:tcPr>
          <w:p w14:paraId="2E452D89">
            <w:pPr>
              <w:jc w:val="left"/>
              <w:rPr>
                <w:rFonts w:ascii="Times New Roman" w:hAnsi="Times New Roman"/>
              </w:rPr>
            </w:pPr>
            <w:r>
              <w:rPr>
                <w:rFonts w:ascii="Times New Roman" w:hAnsi="Times New Roman"/>
              </w:rPr>
              <w:t>对投标人根据采购需求“项目概况”提供的需求理解进行评分： （1）对项目背景熟悉，对任务现状、主要工作内容与时间要求理解透彻，对项目重点难点分析深入全面，得8分； （2）对项目背景基本了解，对任务现状、主要工作内容与时间要求基本理解，对项目重点难点分析基本到位，得5分； （3）对项目背景、任务现状、主要工作内容与时间要求不了解，对项目重点难点分析不到位，得2分； （4）未提供不得分。</w:t>
            </w:r>
          </w:p>
        </w:tc>
      </w:tr>
      <w:tr w14:paraId="4970E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1" w:type="dxa"/>
            <w:vMerge w:val="continue"/>
          </w:tcPr>
          <w:p w14:paraId="6C6ADC81">
            <w:pPr>
              <w:rPr>
                <w:rFonts w:ascii="Times New Roman" w:hAnsi="Times New Roman"/>
              </w:rPr>
            </w:pPr>
          </w:p>
        </w:tc>
        <w:tc>
          <w:tcPr>
            <w:tcW w:w="2173" w:type="dxa"/>
          </w:tcPr>
          <w:p w14:paraId="22BD081D">
            <w:pPr>
              <w:jc w:val="left"/>
              <w:rPr>
                <w:rFonts w:ascii="Times New Roman" w:hAnsi="Times New Roman"/>
              </w:rPr>
            </w:pPr>
            <w:r>
              <w:rPr>
                <w:rFonts w:ascii="Times New Roman" w:hAnsi="Times New Roman"/>
              </w:rPr>
              <w:t>技术服务方案 (8.0分)，（等次分值选择：0.0;2.0;5.0;8.0;）</w:t>
            </w:r>
          </w:p>
        </w:tc>
        <w:tc>
          <w:tcPr>
            <w:tcW w:w="6206" w:type="dxa"/>
          </w:tcPr>
          <w:p w14:paraId="4197E3C1">
            <w:pPr>
              <w:jc w:val="left"/>
              <w:rPr>
                <w:rFonts w:ascii="Times New Roman" w:hAnsi="Times New Roman"/>
              </w:rPr>
            </w:pPr>
            <w:r>
              <w:rPr>
                <w:rFonts w:ascii="Times New Roman" w:hAnsi="Times New Roman"/>
              </w:rPr>
              <w:t>对投标人根据采购需求“二、项目服务内容”提供的技术服务方案进行评分： （1）技术服务方案完全满足规范要求，作业方法成熟，方案内容详细全面、合理可行，得8分； （2）技术服务方案基本达到规范要求，作业手段方法基本满足需求，方案内容完整、具备可行性，得5分； （3）技术服务方案不规范、作业手段方法不成熟或方案缺乏合理性，得2分； （4）未提供不得分。</w:t>
            </w:r>
          </w:p>
        </w:tc>
      </w:tr>
      <w:tr w14:paraId="10D4E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cantSplit/>
        </w:trPr>
        <w:tc>
          <w:tcPr>
            <w:tcW w:w="1221" w:type="dxa"/>
            <w:vMerge w:val="continue"/>
          </w:tcPr>
          <w:p w14:paraId="6D95162A">
            <w:pPr>
              <w:rPr>
                <w:rFonts w:ascii="Times New Roman" w:hAnsi="Times New Roman"/>
              </w:rPr>
            </w:pPr>
          </w:p>
        </w:tc>
        <w:tc>
          <w:tcPr>
            <w:tcW w:w="2173" w:type="dxa"/>
          </w:tcPr>
          <w:p w14:paraId="0B8713F1">
            <w:pPr>
              <w:jc w:val="left"/>
              <w:rPr>
                <w:rFonts w:ascii="Times New Roman" w:hAnsi="Times New Roman"/>
              </w:rPr>
            </w:pPr>
            <w:r>
              <w:rPr>
                <w:rFonts w:ascii="Times New Roman" w:hAnsi="Times New Roman"/>
              </w:rPr>
              <w:t>项目组织实施 (8.0分)，（等次分值选择：0.0;2.0;5.0;8.0;）</w:t>
            </w:r>
          </w:p>
        </w:tc>
        <w:tc>
          <w:tcPr>
            <w:tcW w:w="6206" w:type="dxa"/>
            <w:vAlign w:val="top"/>
          </w:tcPr>
          <w:p w14:paraId="011F6C8C">
            <w:pPr>
              <w:jc w:val="left"/>
              <w:rPr>
                <w:rFonts w:ascii="Times New Roman" w:hAnsi="Times New Roman"/>
              </w:rPr>
            </w:pPr>
            <w:r>
              <w:rPr>
                <w:rFonts w:ascii="Times New Roman" w:hAnsi="Times New Roman"/>
              </w:rPr>
              <w:t>对投标人根据采购需求“三、项目实施要求”的“（一）服务要求”、“（四）安全作业要求”、“（五）数据安全管理要求”提供的项目组织实施方案（包括实施组织计划、工作流程与质量保障措施等内容）进行评分： （1）实施组织计划科学合理，工作流程详尽完善、质量保障措施严谨规范，得8分； （2）实施组织计划合理，工作流程较为完善，质量保障措施较为规范，得5分； （3）实施组织计划缺乏合理性、工作流程不完整或质量保障措施不规范，得2分； （4）未提供不得分。</w:t>
            </w:r>
          </w:p>
        </w:tc>
      </w:tr>
      <w:tr w14:paraId="35DE3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1" w:type="dxa"/>
            <w:vMerge w:val="continue"/>
          </w:tcPr>
          <w:p w14:paraId="774F1CFE">
            <w:pPr>
              <w:rPr>
                <w:rFonts w:ascii="Times New Roman" w:hAnsi="Times New Roman"/>
              </w:rPr>
            </w:pPr>
          </w:p>
        </w:tc>
        <w:tc>
          <w:tcPr>
            <w:tcW w:w="2173" w:type="dxa"/>
          </w:tcPr>
          <w:p w14:paraId="6FEE1B94">
            <w:pPr>
              <w:jc w:val="left"/>
              <w:rPr>
                <w:rFonts w:ascii="Times New Roman" w:hAnsi="Times New Roman"/>
              </w:rPr>
            </w:pPr>
            <w:r>
              <w:rPr>
                <w:rFonts w:ascii="Times New Roman" w:hAnsi="Times New Roman"/>
              </w:rPr>
              <w:t>技术标准及更新规范编制思考 (8.0分)，（等次分值选择：0.0;2.0;5.0;8.0;）</w:t>
            </w:r>
          </w:p>
        </w:tc>
        <w:tc>
          <w:tcPr>
            <w:tcW w:w="6206" w:type="dxa"/>
          </w:tcPr>
          <w:p w14:paraId="7F9FA601">
            <w:pPr>
              <w:jc w:val="left"/>
              <w:rPr>
                <w:rFonts w:ascii="Times New Roman" w:hAnsi="Times New Roman"/>
              </w:rPr>
            </w:pPr>
            <w:r>
              <w:rPr>
                <w:rFonts w:ascii="Times New Roman" w:hAnsi="Times New Roman"/>
              </w:rPr>
              <w:t>对投标人根据“一、项目建设依据”提供的技术标准及更新规范编制思考（包括是否符合本项目地下市政基础设施普查技术标准、地下市政基础设施成果数据更新的要求，项目成果的数据标准、数据结构是否具有开放性，数据逻辑处理、数据更新机制是否科学合理等）进行评分： （1）技术标准及更新规范编制思路完全符合项目需求，数据标准、数据结构开放性较高，数据逻辑处理、数据更新机制科学严谨，得8分； （2）技术标准及更新规范编制思路基本符合项目需求，数据标准、数据结构具有一定开放性，数据逻辑处理、数据更新机制基本合理，得5分； （3）技术标准及更新规范编制思路不符合项目需求，数据标准、数据结构缺乏开放性或数据逻辑处理或数据更新机制缺乏合理性，得2分。 （4）未提供不得分。</w:t>
            </w:r>
          </w:p>
        </w:tc>
      </w:tr>
      <w:tr w14:paraId="79C4D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1" w:type="dxa"/>
            <w:vMerge w:val="continue"/>
          </w:tcPr>
          <w:p w14:paraId="1CDCAFD6">
            <w:pPr>
              <w:rPr>
                <w:rFonts w:ascii="Times New Roman" w:hAnsi="Times New Roman"/>
              </w:rPr>
            </w:pPr>
          </w:p>
        </w:tc>
        <w:tc>
          <w:tcPr>
            <w:tcW w:w="2173" w:type="dxa"/>
          </w:tcPr>
          <w:p w14:paraId="4BE067A4">
            <w:pPr>
              <w:jc w:val="left"/>
              <w:rPr>
                <w:rFonts w:ascii="Times New Roman" w:hAnsi="Times New Roman"/>
              </w:rPr>
            </w:pPr>
            <w:r>
              <w:rPr>
                <w:rFonts w:ascii="Times New Roman" w:hAnsi="Times New Roman"/>
              </w:rPr>
              <w:t>工作进度计划 (8.0分)，（等次分值选择：0.0;2.0;5.0;8.0;）</w:t>
            </w:r>
          </w:p>
        </w:tc>
        <w:tc>
          <w:tcPr>
            <w:tcW w:w="6206" w:type="dxa"/>
          </w:tcPr>
          <w:p w14:paraId="4D8483CA">
            <w:pPr>
              <w:jc w:val="left"/>
              <w:rPr>
                <w:rFonts w:ascii="Times New Roman" w:hAnsi="Times New Roman"/>
              </w:rPr>
            </w:pPr>
            <w:r>
              <w:rPr>
                <w:rFonts w:ascii="Times New Roman" w:hAnsi="Times New Roman"/>
              </w:rPr>
              <w:t>对投标人根据采购需求“三、项目实施要求”的“（二）普查工作流程”、“（三）进度要求”提供的工作进度计划进行评分： （1）进度计划编制依据充分，关键线路清晰、准确、完整，能切实保障项目顺利实施完成，得8分； （2）进度计划具备一定的可行性，能保障项目实施，得5分； （3）进度计划缺乏可行性，得2分； （4）未提供不得分。</w:t>
            </w:r>
          </w:p>
        </w:tc>
      </w:tr>
      <w:tr w14:paraId="0CE48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1" w:type="dxa"/>
            <w:vMerge w:val="continue"/>
          </w:tcPr>
          <w:p w14:paraId="52A379C3">
            <w:pPr>
              <w:rPr>
                <w:rFonts w:ascii="Times New Roman" w:hAnsi="Times New Roman"/>
              </w:rPr>
            </w:pPr>
          </w:p>
        </w:tc>
        <w:tc>
          <w:tcPr>
            <w:tcW w:w="2173" w:type="dxa"/>
          </w:tcPr>
          <w:p w14:paraId="27E7A2DC">
            <w:pPr>
              <w:jc w:val="left"/>
              <w:rPr>
                <w:rFonts w:ascii="Times New Roman" w:hAnsi="Times New Roman"/>
              </w:rPr>
            </w:pPr>
            <w:r>
              <w:rPr>
                <w:rFonts w:ascii="Times New Roman" w:hAnsi="Times New Roman"/>
              </w:rPr>
              <w:t>后续服务 (5.0分)，（等次分值选择：0.0;1.0;3.0;5.0;）</w:t>
            </w:r>
          </w:p>
        </w:tc>
        <w:tc>
          <w:tcPr>
            <w:tcW w:w="6206" w:type="dxa"/>
          </w:tcPr>
          <w:p w14:paraId="6133C728">
            <w:pPr>
              <w:jc w:val="left"/>
              <w:rPr>
                <w:rFonts w:ascii="Times New Roman" w:hAnsi="Times New Roman"/>
              </w:rPr>
            </w:pPr>
            <w:r>
              <w:rPr>
                <w:rFonts w:ascii="Times New Roman" w:hAnsi="Times New Roman"/>
              </w:rPr>
              <w:t>对投标人根据采购需求“后续服务”提供的后续服务方案进行评分： （1）服务计划详细完整，科学合理，可行性高的，得5分； （2）服务计划完整，具备可行性的，得3分； （3）服务计划缺乏合理性的，得1分； （4）未提供不得分。</w:t>
            </w:r>
          </w:p>
        </w:tc>
      </w:tr>
      <w:tr w14:paraId="0CAA7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21" w:type="dxa"/>
            <w:vMerge w:val="restart"/>
          </w:tcPr>
          <w:p w14:paraId="4FFC7F3A">
            <w:pPr>
              <w:jc w:val="center"/>
              <w:rPr>
                <w:rFonts w:ascii="Times New Roman" w:hAnsi="Times New Roman"/>
              </w:rPr>
            </w:pPr>
            <w:r>
              <w:rPr>
                <w:rFonts w:ascii="Times New Roman" w:hAnsi="Times New Roman"/>
              </w:rPr>
              <w:t>商务部分</w:t>
            </w:r>
            <w:r>
              <w:rPr>
                <w:rFonts w:hint="eastAsia" w:ascii="Times New Roman" w:hAnsi="Times New Roman"/>
                <w:lang w:eastAsia="zh-CN"/>
              </w:rPr>
              <w:t>（</w:t>
            </w:r>
            <w:r>
              <w:rPr>
                <w:rFonts w:ascii="Times New Roman" w:hAnsi="Times New Roman"/>
              </w:rPr>
              <w:t>45分</w:t>
            </w:r>
            <w:r>
              <w:rPr>
                <w:rFonts w:hint="eastAsia" w:ascii="Times New Roman" w:hAnsi="Times New Roman"/>
                <w:lang w:eastAsia="zh-CN"/>
              </w:rPr>
              <w:t>）</w:t>
            </w:r>
          </w:p>
        </w:tc>
        <w:tc>
          <w:tcPr>
            <w:tcW w:w="2173" w:type="dxa"/>
          </w:tcPr>
          <w:p w14:paraId="751C8CAD">
            <w:pPr>
              <w:jc w:val="left"/>
              <w:rPr>
                <w:rFonts w:ascii="Times New Roman" w:hAnsi="Times New Roman"/>
              </w:rPr>
            </w:pPr>
            <w:r>
              <w:rPr>
                <w:rFonts w:ascii="Times New Roman" w:hAnsi="Times New Roman"/>
              </w:rPr>
              <w:t>综合实力 (7.0分)，（等次分值选择：0.0;1.0;2.0;3.0;4.0;5.0;6.0;7.0;）</w:t>
            </w:r>
          </w:p>
        </w:tc>
        <w:tc>
          <w:tcPr>
            <w:tcW w:w="6206" w:type="dxa"/>
          </w:tcPr>
          <w:p w14:paraId="168B5543">
            <w:pPr>
              <w:jc w:val="left"/>
              <w:rPr>
                <w:rFonts w:ascii="Times New Roman" w:hAnsi="Times New Roman"/>
              </w:rPr>
            </w:pPr>
            <w:r>
              <w:rPr>
                <w:rFonts w:ascii="Times New Roman" w:hAnsi="Times New Roman"/>
              </w:rPr>
              <w:t>（1）投标人配备经地级市及以上保密部门备案的涉密计算机的得2分，未提供不得分。 （须提供地级市及以上保密部门批准涉密计算机备案的证明，复印件加盖投标人公章） （2）投标人具有由国家认证认可监督管理部门批准设立的认证机构颁发的质量管理体系认证证书、环境管理体系认证证书、职业健康安全管理体系认证证书，每个得1分，最高得3分。 （须提供以上有效期内的证书，复印件加盖投标人公章） （3）投标人参与过编写地下空间数据地方标准或规范的得2分。 （须提供能体现投标人参与编制上述标准或规范文件的证明材料关键页，复印件加盖投标人公章）</w:t>
            </w:r>
          </w:p>
        </w:tc>
      </w:tr>
      <w:tr w14:paraId="37658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Pr>
        <w:tc>
          <w:tcPr>
            <w:tcW w:w="1221" w:type="dxa"/>
            <w:vMerge w:val="continue"/>
          </w:tcPr>
          <w:p w14:paraId="3C66B26A">
            <w:pPr>
              <w:rPr>
                <w:rFonts w:ascii="Times New Roman" w:hAnsi="Times New Roman"/>
              </w:rPr>
            </w:pPr>
          </w:p>
        </w:tc>
        <w:tc>
          <w:tcPr>
            <w:tcW w:w="2173" w:type="dxa"/>
          </w:tcPr>
          <w:p w14:paraId="33B35EC9">
            <w:pPr>
              <w:jc w:val="left"/>
              <w:rPr>
                <w:rFonts w:ascii="Times New Roman" w:hAnsi="Times New Roman"/>
              </w:rPr>
            </w:pPr>
            <w:r>
              <w:rPr>
                <w:rFonts w:ascii="Times New Roman" w:hAnsi="Times New Roman"/>
              </w:rPr>
              <w:t>项目业绩 (10.0分)，（等次分值选择：0.0;1.0;2.0;3.0;4.0;5.0;6.0;7.0;8.0;9.0;10.0;）</w:t>
            </w:r>
          </w:p>
        </w:tc>
        <w:tc>
          <w:tcPr>
            <w:tcW w:w="6206" w:type="dxa"/>
            <w:vAlign w:val="top"/>
          </w:tcPr>
          <w:p w14:paraId="1AF4158B">
            <w:pPr>
              <w:jc w:val="left"/>
              <w:rPr>
                <w:rFonts w:ascii="Times New Roman" w:hAnsi="Times New Roman"/>
              </w:rPr>
            </w:pPr>
            <w:r>
              <w:rPr>
                <w:rFonts w:ascii="Times New Roman" w:hAnsi="Times New Roman"/>
              </w:rPr>
              <w:t>投标人自2018年1月1日（以合同签订时间为准）以来承担过： （1）市政管线工程方案设计或市政类规划编制或市政管线探测项目的，每个得1分，最高得5分。 （2）管线数据规整或管线数据入库检查工作的，每个得1分，最高得5分。 （须提供合同复印件加盖投标人公章）</w:t>
            </w:r>
          </w:p>
        </w:tc>
      </w:tr>
      <w:tr w14:paraId="59474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1" w:type="dxa"/>
            <w:vMerge w:val="continue"/>
          </w:tcPr>
          <w:p w14:paraId="0680B9C9">
            <w:pPr>
              <w:rPr>
                <w:rFonts w:ascii="Times New Roman" w:hAnsi="Times New Roman"/>
              </w:rPr>
            </w:pPr>
          </w:p>
        </w:tc>
        <w:tc>
          <w:tcPr>
            <w:tcW w:w="2173" w:type="dxa"/>
          </w:tcPr>
          <w:p w14:paraId="4FA4B787">
            <w:pPr>
              <w:jc w:val="left"/>
              <w:rPr>
                <w:rFonts w:ascii="Times New Roman" w:hAnsi="Times New Roman"/>
              </w:rPr>
            </w:pPr>
            <w:r>
              <w:rPr>
                <w:rFonts w:ascii="Times New Roman" w:hAnsi="Times New Roman"/>
              </w:rPr>
              <w:t>荣誉奖项 (10.0分)</w:t>
            </w:r>
          </w:p>
        </w:tc>
        <w:tc>
          <w:tcPr>
            <w:tcW w:w="6206" w:type="dxa"/>
          </w:tcPr>
          <w:p w14:paraId="2CE7E426">
            <w:pPr>
              <w:jc w:val="left"/>
              <w:rPr>
                <w:rFonts w:ascii="Times New Roman" w:hAnsi="Times New Roman"/>
              </w:rPr>
            </w:pPr>
            <w:r>
              <w:rPr>
                <w:rFonts w:ascii="Times New Roman" w:hAnsi="Times New Roman"/>
              </w:rPr>
              <w:t>投标人自2018年1月1日以来获得过以下荣誉奖项： （1）管线普查监理类或管线普查探测类或市政设施普查类项目，每个省级及以上奖项得3分，每个市级奖项得1分，最高得6分；其他情况不得分。 （2）测绘地理信息领域或工程勘察设计领域或城乡规划领域奖项的，每个省级及以上奖项得2分，每个市级奖项得0.5分，最高得4分；其他情况不得分。 （须提供荣誉证书复印件加盖投标人公章）</w:t>
            </w:r>
          </w:p>
        </w:tc>
      </w:tr>
      <w:tr w14:paraId="055AD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1" w:type="dxa"/>
            <w:vMerge w:val="continue"/>
          </w:tcPr>
          <w:p w14:paraId="3C5A8BF4">
            <w:pPr>
              <w:rPr>
                <w:rFonts w:ascii="Times New Roman" w:hAnsi="Times New Roman"/>
              </w:rPr>
            </w:pPr>
          </w:p>
        </w:tc>
        <w:tc>
          <w:tcPr>
            <w:tcW w:w="2173" w:type="dxa"/>
          </w:tcPr>
          <w:p w14:paraId="7ACE6BD8">
            <w:pPr>
              <w:jc w:val="left"/>
              <w:rPr>
                <w:rFonts w:ascii="Times New Roman" w:hAnsi="Times New Roman"/>
              </w:rPr>
            </w:pPr>
            <w:r>
              <w:rPr>
                <w:rFonts w:ascii="Times New Roman" w:hAnsi="Times New Roman"/>
              </w:rPr>
              <w:t>技术力量 (16.0分)</w:t>
            </w:r>
          </w:p>
        </w:tc>
        <w:tc>
          <w:tcPr>
            <w:tcW w:w="6206" w:type="dxa"/>
          </w:tcPr>
          <w:p w14:paraId="1E16BF78">
            <w:pPr>
              <w:jc w:val="left"/>
              <w:rPr>
                <w:rFonts w:ascii="Times New Roman" w:hAnsi="Times New Roman"/>
              </w:rPr>
            </w:pPr>
            <w:r>
              <w:rPr>
                <w:rFonts w:ascii="Times New Roman" w:hAnsi="Times New Roman"/>
              </w:rPr>
              <w:t>（1）拟投入本项目的负责人情况： ①项目负责人（1人）：具有测绘类正高级（教授级）工程师职称证书得2分；具有注册测绘师资格证或注册城乡规划师资格证得1分，本项最高得3分；其他情况不得分。【须提供人员职称证书、注册执业资格证书及投标人为其缴纳的距投标截止时间前半年内任意一个月的社保证明材料；注册执业资格证书须体现注册单位为投标人，若证书无法体现须提供网页截图；人员相互之间不可兼任；以上材料复印件均须加盖投标人公章】 ②技术负责人（1人）：具有1）高级项目管理师证书；2）信息系统监理师证；3）信息安全保障人员证书（CISAW)；4）涉密测绘成果管理人员证书；每具有一个证书得1分，本项最高得4分；其他情况不得分。【须提供人员证书及投标人为其缴纳的距投标截止时间前半年内任意一个月的社保证明材料；人员相互之间不可兼任；以上材料复印件均须加盖投标人公章】 （2）拟投入本项目的主要技术人员（项目负责人、技术负责人除外）具有测绘类或测量类或地理信息类或市政工程类或交通规划类或城乡（市）规划类或土木工程类工程师职称；高级及以上工程师职称的每个得1分；中级工程师职称的每个得0.5分；本项最高得9分，其他情况不得分。【须提供上述人员职称证书及投标人为其缴纳的距投标截止时间前半年内任意一个月的社保证明材料；以上材料复印件均须加盖投标人公章】</w:t>
            </w:r>
          </w:p>
        </w:tc>
      </w:tr>
      <w:tr w14:paraId="622FD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21" w:type="dxa"/>
            <w:vMerge w:val="continue"/>
          </w:tcPr>
          <w:p w14:paraId="7EC57629">
            <w:pPr>
              <w:rPr>
                <w:rFonts w:ascii="Times New Roman" w:hAnsi="Times New Roman"/>
              </w:rPr>
            </w:pPr>
          </w:p>
        </w:tc>
        <w:tc>
          <w:tcPr>
            <w:tcW w:w="2173" w:type="dxa"/>
          </w:tcPr>
          <w:p w14:paraId="150725D9">
            <w:pPr>
              <w:jc w:val="left"/>
              <w:rPr>
                <w:rFonts w:ascii="Times New Roman" w:hAnsi="Times New Roman"/>
              </w:rPr>
            </w:pPr>
            <w:r>
              <w:rPr>
                <w:rFonts w:ascii="Times New Roman" w:hAnsi="Times New Roman"/>
              </w:rPr>
              <w:t>服务响应时间 (2.0分)，（等次分值选择：0.0;0.5;1.0;2.0;）</w:t>
            </w:r>
          </w:p>
        </w:tc>
        <w:tc>
          <w:tcPr>
            <w:tcW w:w="6206" w:type="dxa"/>
          </w:tcPr>
          <w:p w14:paraId="564D10A3">
            <w:pPr>
              <w:jc w:val="left"/>
              <w:rPr>
                <w:rFonts w:ascii="Times New Roman" w:hAnsi="Times New Roman"/>
              </w:rPr>
            </w:pPr>
            <w:r>
              <w:rPr>
                <w:rFonts w:ascii="Times New Roman" w:hAnsi="Times New Roman"/>
              </w:rPr>
              <w:t>根据投标人的服务响应时间进行评审： 投标人承诺30分钟（含）以内到达采购人办公地点，得2分； 投标人承诺30分钟（不含）以上60分钟（含）以内到达采购人办公地点，得1分； 投标人承诺60分钟（不含）以上到达采购人办公地点，得0.5分。 （须提供承诺书加盖投标人公章，未提供不得分）</w:t>
            </w:r>
          </w:p>
        </w:tc>
      </w:tr>
      <w:tr w14:paraId="20E9A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1" w:type="dxa"/>
          </w:tcPr>
          <w:p w14:paraId="60E8130C">
            <w:pPr>
              <w:jc w:val="center"/>
              <w:rPr>
                <w:rFonts w:hint="eastAsia" w:ascii="Times New Roman" w:hAnsi="Times New Roman" w:eastAsiaTheme="minorEastAsia"/>
                <w:lang w:eastAsia="zh-CN"/>
              </w:rPr>
            </w:pPr>
            <w:r>
              <w:rPr>
                <w:rFonts w:ascii="Times New Roman" w:hAnsi="Times New Roman"/>
              </w:rPr>
              <w:t>报价</w:t>
            </w:r>
            <w:r>
              <w:rPr>
                <w:rFonts w:hint="eastAsia" w:ascii="Times New Roman" w:hAnsi="Times New Roman"/>
                <w:lang w:eastAsia="zh-CN"/>
              </w:rPr>
              <w:t>部分（</w:t>
            </w:r>
            <w:r>
              <w:rPr>
                <w:rFonts w:hint="eastAsia" w:ascii="Times New Roman" w:hAnsi="Times New Roman"/>
                <w:lang w:val="en-US" w:eastAsia="zh-CN"/>
              </w:rPr>
              <w:t>1</w:t>
            </w:r>
            <w:r>
              <w:rPr>
                <w:rFonts w:ascii="Times New Roman" w:hAnsi="Times New Roman"/>
              </w:rPr>
              <w:t>0分</w:t>
            </w:r>
            <w:r>
              <w:rPr>
                <w:rFonts w:hint="eastAsia" w:ascii="Times New Roman" w:hAnsi="Times New Roman"/>
                <w:lang w:eastAsia="zh-CN"/>
              </w:rPr>
              <w:t>）</w:t>
            </w:r>
          </w:p>
        </w:tc>
        <w:tc>
          <w:tcPr>
            <w:tcW w:w="2173" w:type="dxa"/>
          </w:tcPr>
          <w:p w14:paraId="30CC7D29">
            <w:pPr>
              <w:jc w:val="left"/>
              <w:rPr>
                <w:rFonts w:ascii="Times New Roman" w:hAnsi="Times New Roman"/>
              </w:rPr>
            </w:pPr>
            <w:r>
              <w:rPr>
                <w:rFonts w:ascii="Times New Roman" w:hAnsi="Times New Roman"/>
              </w:rPr>
              <w:t>投标报价得分 (10.0分)</w:t>
            </w:r>
          </w:p>
        </w:tc>
        <w:tc>
          <w:tcPr>
            <w:tcW w:w="6206" w:type="dxa"/>
          </w:tcPr>
          <w:p w14:paraId="01DF0202">
            <w:pPr>
              <w:jc w:val="left"/>
              <w:rPr>
                <w:rFonts w:ascii="Times New Roman" w:hAnsi="Times New Roman"/>
              </w:rPr>
            </w:pPr>
            <w:r>
              <w:rPr>
                <w:rFonts w:ascii="Times New Roman" w:hAnsi="Times New Roman"/>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3D29BB4A">
      <w:pPr>
        <w:rPr>
          <w:rFonts w:ascii="Times New Roman" w:hAnsi="Times New Roman"/>
        </w:rPr>
      </w:pPr>
    </w:p>
    <w:p w14:paraId="764E24BE">
      <w:pPr>
        <w:rPr>
          <w:rFonts w:hint="eastAsia" w:ascii="Times New Roman" w:hAnsi="Times New Roman"/>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DA2F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53CB8">
                          <w:pPr>
                            <w:pStyle w:val="3"/>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853CB8">
                    <w:pPr>
                      <w:pStyle w:val="3"/>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ascii="Times New Roman" w:hAnsi="Times New Roman" w:cs="Times New Roman"/>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38D2B6D"/>
    <w:rsid w:val="177F50ED"/>
    <w:rsid w:val="353D6A7E"/>
    <w:rsid w:val="3777E804"/>
    <w:rsid w:val="3D5EAE02"/>
    <w:rsid w:val="53B52B8D"/>
    <w:rsid w:val="6B2A85CD"/>
    <w:rsid w:val="75F76AA0"/>
    <w:rsid w:val="77BDCE00"/>
    <w:rsid w:val="77F79321"/>
    <w:rsid w:val="7B7C1AE7"/>
    <w:rsid w:val="7BBF1E33"/>
    <w:rsid w:val="7FFC19FA"/>
    <w:rsid w:val="7FFF9D5C"/>
    <w:rsid w:val="8FF5865A"/>
    <w:rsid w:val="BBBF7779"/>
    <w:rsid w:val="EFFD16C8"/>
    <w:rsid w:val="F7EE9F5B"/>
    <w:rsid w:val="FAF72E72"/>
    <w:rsid w:val="FBFF13F3"/>
    <w:rsid w:val="FDF7B58D"/>
    <w:rsid w:val="FEB7C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2976</Words>
  <Characters>3331</Characters>
  <Lines>0</Lines>
  <Paragraphs>0</Paragraphs>
  <TotalTime>3</TotalTime>
  <ScaleCrop>false</ScaleCrop>
  <LinksUpToDate>false</LinksUpToDate>
  <CharactersWithSpaces>3334</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五块钱</dc:creator>
  <cp:lastModifiedBy>WPS</cp:lastModifiedBy>
  <dcterms:modified xsi:type="dcterms:W3CDTF">2026-03-30T10:56:02Z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KSOTemplateDocerSaveRecord">
    <vt:lpwstr>eyJoZGlkIjoiYzJkODRlMmY3YjQ1YzRiZjYyM2JhYTE1MjJjZjQyNWQiLCJ1c2VySWQiOiIzNTIxOTQxNzEifQ==</vt:lpwstr>
  </property>
  <property fmtid="{D5CDD505-2E9C-101B-9397-08002B2CF9AE}" pid="4" name="ICV">
    <vt:lpwstr>94D733044AE74DAC87B218B8EB99C281_12</vt:lpwstr>
  </property>
</Properties>
</file>