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tabs>
          <w:tab w:val="clear" w:pos="1440"/>
          <w:tab w:val="clear" w:pos="1620"/>
        </w:tabs>
        <w:spacing w:before="0" w:after="156" w:afterLines="50"/>
        <w:ind w:firstLine="440" w:firstLineChars="100"/>
        <w:jc w:val="center"/>
        <w:outlineLvl w:val="0"/>
        <w:rPr>
          <w:rFonts w:ascii="Times New Roman" w:hAnsi="Times New Roman" w:eastAsia="方正小标宋简体"/>
          <w:b w:val="0"/>
          <w:bCs/>
          <w:color w:val="auto"/>
          <w:kern w:val="2"/>
          <w:sz w:val="44"/>
          <w:szCs w:val="44"/>
        </w:rPr>
      </w:pPr>
      <w:r>
        <w:rPr>
          <w:rFonts w:ascii="Times New Roman" w:hAnsi="Times New Roman" w:eastAsia="方正小标宋简体"/>
          <w:b w:val="0"/>
          <w:bCs/>
          <w:color w:val="auto"/>
          <w:kern w:val="2"/>
          <w:sz w:val="44"/>
          <w:szCs w:val="44"/>
        </w:rPr>
        <w:t>项目需求书</w:t>
      </w:r>
    </w:p>
    <w:p>
      <w:pPr>
        <w:pStyle w:val="19"/>
        <w:ind w:firstLine="720" w:firstLineChars="225"/>
        <w:jc w:val="both"/>
        <w:rPr>
          <w:rFonts w:hint="default" w:ascii="Times New Roman" w:hAnsi="Times New Roman" w:eastAsia="黑体" w:cs="Times New Roman"/>
          <w:color w:val="auto"/>
          <w:sz w:val="32"/>
          <w:szCs w:val="32"/>
        </w:rPr>
      </w:pPr>
    </w:p>
    <w:p>
      <w:pPr>
        <w:pStyle w:val="19"/>
        <w:ind w:firstLine="720" w:firstLineChars="225"/>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一、项目内容</w:t>
      </w:r>
    </w:p>
    <w:p>
      <w:pPr>
        <w:pStyle w:val="19"/>
        <w:ind w:firstLine="720" w:firstLineChars="225"/>
        <w:jc w:val="both"/>
        <w:rPr>
          <w:rFonts w:hint="eastAsia"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2026</w:t>
      </w:r>
      <w:r>
        <w:rPr>
          <w:rFonts w:hint="eastAsia" w:ascii="Times New Roman" w:hAnsi="Times New Roman" w:eastAsia="仿宋_GB2312" w:cs="Times New Roman"/>
          <w:color w:val="auto"/>
          <w:sz w:val="32"/>
          <w:szCs w:val="32"/>
          <w:lang w:val="en-US" w:eastAsia="zh-CN"/>
        </w:rPr>
        <w:t>年东莞市中心城区</w:t>
      </w:r>
      <w:r>
        <w:rPr>
          <w:rFonts w:hint="eastAsia" w:ascii="Times New Roman" w:hAnsi="Times New Roman" w:eastAsia="仿宋_GB2312" w:cs="Times New Roman"/>
          <w:color w:val="auto"/>
          <w:sz w:val="32"/>
          <w:szCs w:val="32"/>
        </w:rPr>
        <w:t>既有地下管线</w:t>
      </w:r>
      <w:r>
        <w:rPr>
          <w:rFonts w:hint="eastAsia" w:ascii="Times New Roman" w:hAnsi="Times New Roman" w:eastAsia="仿宋_GB2312" w:cs="Times New Roman"/>
          <w:color w:val="auto"/>
          <w:sz w:val="32"/>
          <w:szCs w:val="32"/>
          <w:lang w:eastAsia="zh-CN"/>
        </w:rPr>
        <w:t>数据库</w:t>
      </w:r>
      <w:r>
        <w:rPr>
          <w:rFonts w:hint="eastAsia" w:ascii="Times New Roman" w:hAnsi="Times New Roman" w:eastAsia="仿宋_GB2312" w:cs="Times New Roman"/>
          <w:color w:val="auto"/>
          <w:sz w:val="32"/>
          <w:szCs w:val="32"/>
        </w:rPr>
        <w:t>属性升级</w:t>
      </w:r>
      <w:r>
        <w:rPr>
          <w:rFonts w:hint="eastAsia" w:ascii="Times New Roman" w:hAnsi="Times New Roman" w:eastAsia="仿宋_GB2312" w:cs="Times New Roman"/>
          <w:color w:val="auto"/>
          <w:sz w:val="32"/>
          <w:szCs w:val="32"/>
          <w:lang w:eastAsia="zh-CN"/>
        </w:rPr>
        <w:t>全过程</w:t>
      </w:r>
      <w:r>
        <w:rPr>
          <w:rFonts w:hint="eastAsia" w:ascii="Times New Roman" w:hAnsi="Times New Roman" w:eastAsia="仿宋_GB2312" w:cs="Times New Roman"/>
          <w:color w:val="auto"/>
          <w:sz w:val="32"/>
          <w:szCs w:val="32"/>
        </w:rPr>
        <w:t>监理</w:t>
      </w:r>
      <w:r>
        <w:rPr>
          <w:rFonts w:hint="eastAsia" w:ascii="Times New Roman" w:hAnsi="Times New Roman" w:eastAsia="仿宋_GB2312" w:cs="Times New Roman"/>
          <w:color w:val="auto"/>
          <w:sz w:val="32"/>
          <w:szCs w:val="32"/>
          <w:lang w:eastAsia="zh-CN"/>
        </w:rPr>
        <w:t>咨询技术服务项目</w:t>
      </w:r>
      <w:r>
        <w:rPr>
          <w:rFonts w:hint="eastAsia" w:ascii="Times New Roman" w:hAnsi="Times New Roman" w:eastAsia="仿宋_GB2312" w:cs="Times New Roman"/>
          <w:color w:val="auto"/>
          <w:sz w:val="32"/>
          <w:szCs w:val="32"/>
        </w:rPr>
        <w:t>。</w:t>
      </w:r>
    </w:p>
    <w:p>
      <w:pPr>
        <w:pStyle w:val="19"/>
        <w:ind w:firstLine="720" w:firstLineChars="225"/>
        <w:jc w:val="both"/>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（一）项目背景</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城市地下市政基础设施建设是城市安全有序运行的重要基础，是城市高质量发展的重要内容。当前，东莞市城市地下市政基础设施建设总体平稳，基本满足城市快速发展需要，但城市地下管线及其附属设施、地下交通设施、地下人防工程设施等市政基础设施仍存在底数不清、统筹协调不够、运行管理不到位等问题，城市道路塌陷等事故时有发生。为进一步加强城市地下市政基础设施建设，切实做好我市地下市政基础设施建设管理工作，我市拟开展地下市政基础设施普查与信息化建库技术标准编制、地下管线既有工作评估及信息属性升级、地下市政基础设施普查等工作，为东莞市城市安全有序运行打下提供基础数据保障，为城市高质量发展奠定基础。</w:t>
      </w:r>
    </w:p>
    <w:p>
      <w:pPr>
        <w:pStyle w:val="19"/>
        <w:ind w:firstLine="720" w:firstLineChars="225"/>
        <w:jc w:val="both"/>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（二）项目目标</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通过开展东莞市城市地下市政基础设施普查项目，摸清地下市政基础设施的底数，一方面能完善城市地下市政基础设施综合管理信息平台的信息资源，获取城市地下管线、地下交通、地下人防及其它地下市政基础设施更为全面、准确、</w:t>
      </w:r>
      <w:r>
        <w:rPr>
          <w:rFonts w:hint="eastAsia" w:ascii="Times New Roman" w:eastAsia="仿宋_GB2312" w:cs="Times New Roman"/>
          <w:color w:val="auto"/>
          <w:sz w:val="32"/>
          <w:szCs w:val="32"/>
          <w:lang w:val="en-US" w:eastAsia="zh-CN"/>
        </w:rPr>
        <w:t>现势性</w:t>
      </w:r>
      <w:r>
        <w:rPr>
          <w:rFonts w:hint="default" w:ascii="Times New Roman" w:hAnsi="Times New Roman" w:eastAsia="仿宋_GB2312" w:cs="Times New Roman"/>
          <w:color w:val="auto"/>
          <w:sz w:val="32"/>
          <w:szCs w:val="32"/>
          <w:lang w:val="en-US" w:eastAsia="zh-CN"/>
        </w:rPr>
        <w:t>的数据，与城市地理信息数据、其它基础数据整合，建立完善的东莞市城市信息大数据，做到信息充分与完善；另一方面能掌握地下市政基础设施的设计与管理信息，加上收集的隐患病害资料，对市政基础设施的维护更新特别是道路安全的评估提供基础性资料，对于城市道路安全、设施安全等均能起到积极作用，协助提高地下空间基础设施建设效率，提升城市安全韧性。</w:t>
      </w:r>
    </w:p>
    <w:p>
      <w:pPr>
        <w:pStyle w:val="19"/>
        <w:ind w:firstLine="720" w:firstLineChars="225"/>
        <w:jc w:val="both"/>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三</w:t>
      </w:r>
      <w:r>
        <w:rPr>
          <w:rFonts w:hint="default" w:ascii="Times New Roman" w:hAnsi="Times New Roman" w:eastAsia="楷体_GB2312" w:cs="Times New Roman"/>
          <w:color w:val="auto"/>
          <w:sz w:val="32"/>
          <w:szCs w:val="32"/>
          <w:lang w:val="en-US" w:eastAsia="zh-CN"/>
        </w:rPr>
        <w:t>）项目</w:t>
      </w:r>
      <w:r>
        <w:rPr>
          <w:rFonts w:hint="eastAsia" w:ascii="Times New Roman" w:hAnsi="Times New Roman" w:eastAsia="楷体_GB2312" w:cs="Times New Roman"/>
          <w:color w:val="auto"/>
          <w:sz w:val="32"/>
          <w:szCs w:val="32"/>
          <w:lang w:val="en-US" w:eastAsia="zh-CN"/>
        </w:rPr>
        <w:t>数据</w:t>
      </w:r>
      <w:r>
        <w:rPr>
          <w:rFonts w:hint="default" w:ascii="Times New Roman" w:hAnsi="Times New Roman" w:eastAsia="楷体_GB2312" w:cs="Times New Roman"/>
          <w:color w:val="auto"/>
          <w:sz w:val="32"/>
          <w:szCs w:val="32"/>
          <w:lang w:val="en-US" w:eastAsia="zh-CN"/>
        </w:rPr>
        <w:t>基础</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东莞市自然资源局（原市规划局）从2008年开展地下管线普查工作，至2011年完成中心城区的地下管线普查，</w:t>
      </w:r>
      <w:r>
        <w:rPr>
          <w:rFonts w:hint="eastAsia" w:ascii="Times New Roman" w:hAnsi="Times New Roman" w:eastAsia="仿宋_GB2312" w:cs="Times New Roman"/>
          <w:color w:val="auto"/>
          <w:sz w:val="32"/>
          <w:szCs w:val="32"/>
          <w:lang w:val="en-US" w:eastAsia="zh-CN"/>
        </w:rPr>
        <w:t>2025年开展东莞市中心城区地下管线现状修补测</w:t>
      </w:r>
      <w:r>
        <w:rPr>
          <w:rFonts w:hint="default" w:ascii="Times New Roman" w:hAnsi="Times New Roman" w:eastAsia="仿宋_GB2312" w:cs="Times New Roman"/>
          <w:color w:val="auto"/>
          <w:sz w:val="32"/>
          <w:szCs w:val="32"/>
          <w:lang w:val="en-US" w:eastAsia="zh-CN"/>
        </w:rPr>
        <w:t>，现已完成验收，预计</w:t>
      </w:r>
      <w:r>
        <w:rPr>
          <w:rFonts w:hint="eastAsia" w:ascii="Times New Roman" w:hAnsi="Times New Roman" w:eastAsia="仿宋_GB2312" w:cs="Times New Roman"/>
          <w:color w:val="auto"/>
          <w:sz w:val="32"/>
          <w:szCs w:val="32"/>
          <w:lang w:val="en-US" w:eastAsia="zh-CN"/>
        </w:rPr>
        <w:t>中心城区</w:t>
      </w:r>
      <w:r>
        <w:rPr>
          <w:rFonts w:hint="default" w:ascii="Times New Roman" w:hAnsi="Times New Roman" w:eastAsia="仿宋_GB2312" w:cs="Times New Roman"/>
          <w:color w:val="auto"/>
          <w:sz w:val="32"/>
          <w:szCs w:val="32"/>
          <w:lang w:val="en-US" w:eastAsia="zh-CN"/>
        </w:rPr>
        <w:t>地下管线</w:t>
      </w:r>
      <w:r>
        <w:rPr>
          <w:rFonts w:hint="eastAsia" w:ascii="Times New Roman" w:hAnsi="Times New Roman" w:eastAsia="仿宋_GB2312" w:cs="Times New Roman"/>
          <w:color w:val="auto"/>
          <w:sz w:val="32"/>
          <w:szCs w:val="32"/>
          <w:lang w:val="en-US" w:eastAsia="zh-CN"/>
        </w:rPr>
        <w:t>现状摸查成果数据库长度约1</w:t>
      </w:r>
      <w:r>
        <w:rPr>
          <w:rFonts w:hint="default" w:ascii="Times New Roman" w:hAnsi="Times New Roman" w:eastAsia="仿宋_GB2312" w:cs="Times New Roman"/>
          <w:color w:val="auto"/>
          <w:sz w:val="32"/>
          <w:szCs w:val="32"/>
          <w:lang w:val="en-US" w:eastAsia="zh-CN"/>
        </w:rPr>
        <w:t>万公里。</w:t>
      </w:r>
    </w:p>
    <w:p>
      <w:pPr>
        <w:pStyle w:val="19"/>
        <w:ind w:firstLine="720" w:firstLineChars="225"/>
        <w:jc w:val="both"/>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lang w:val="en-US" w:eastAsia="zh-CN"/>
        </w:rPr>
        <w:t>）政策依据</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《住房和城乡建设部关于加强城市地下市政基础设施建设的指导意见》（住房和城乡建设部建城〔2020〕111号）；</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《广东省加强城市地下市政基础设施建设工作方案》的通知（广东省住房和城乡建设厅粤建城〔2021〕71号）；</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《广东省住房和城乡建设厅关于印发〈广东省地下市政基础设施普查技术导则〉〈广东省地下市政基础设施综合管理信息平台建设技术导则〉的通知》（粤建城〔2022〕93号）；</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关于印发《东莞市加强城市地下市政基础设施建设工作实施方案》的通知（东建城〔2021〕2号）；</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关于印发《东莞市地下市政基础设施</w:t>
      </w:r>
      <w:r>
        <w:rPr>
          <w:rFonts w:hint="eastAsia" w:ascii="Times New Roman" w:hAnsi="Times New Roman" w:eastAsia="仿宋_GB2312" w:cs="Times New Roman"/>
          <w:color w:val="auto"/>
          <w:sz w:val="32"/>
          <w:szCs w:val="32"/>
          <w:lang w:val="en-US" w:eastAsia="zh-CN"/>
        </w:rPr>
        <w:t>普查</w:t>
      </w:r>
      <w:r>
        <w:rPr>
          <w:rFonts w:hint="default" w:ascii="Times New Roman" w:hAnsi="Times New Roman" w:eastAsia="仿宋_GB2312" w:cs="Times New Roman"/>
          <w:color w:val="auto"/>
          <w:sz w:val="32"/>
          <w:szCs w:val="32"/>
          <w:lang w:val="en-US" w:eastAsia="zh-CN"/>
        </w:rPr>
        <w:t>工作方案》的通知（东建</w:t>
      </w:r>
      <w:r>
        <w:rPr>
          <w:rFonts w:hint="eastAsia" w:ascii="Times New Roman" w:hAnsi="Times New Roman" w:eastAsia="仿宋_GB2312" w:cs="Times New Roman"/>
          <w:color w:val="auto"/>
          <w:sz w:val="32"/>
          <w:szCs w:val="32"/>
          <w:lang w:val="en-US" w:eastAsia="zh-CN"/>
        </w:rPr>
        <w:t>节能</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号）；</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《东莞市地下管线管理办法》</w:t>
      </w:r>
      <w:r>
        <w:rPr>
          <w:rFonts w:hint="eastAsia" w:ascii="Times New Roman" w:hAnsi="Times New Roman" w:eastAsia="仿宋_GB2312" w:cs="Times New Roman"/>
          <w:color w:val="auto"/>
          <w:sz w:val="32"/>
          <w:szCs w:val="32"/>
          <w:lang w:val="en-US" w:eastAsia="zh-CN"/>
        </w:rPr>
        <w:t>（东莞市人民政府令第154号）</w:t>
      </w:r>
      <w:r>
        <w:rPr>
          <w:rFonts w:hint="default" w:ascii="Times New Roman" w:hAnsi="Times New Roman" w:eastAsia="仿宋_GB2312" w:cs="Times New Roman"/>
          <w:color w:val="auto"/>
          <w:sz w:val="32"/>
          <w:szCs w:val="32"/>
          <w:lang w:val="en-US" w:eastAsia="zh-CN"/>
        </w:rPr>
        <w:t>；</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《中华人民共和国测绘法》（中华人民共和国主席令第67号）；</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《中华人民共和国测绘成果管理条例》（中华人民共和国国务院令第469号）；</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国家、省、市下发的其他相关政策文件。</w:t>
      </w:r>
    </w:p>
    <w:p>
      <w:pPr>
        <w:pStyle w:val="19"/>
        <w:ind w:firstLine="720" w:firstLineChars="225"/>
        <w:jc w:val="both"/>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五</w:t>
      </w:r>
      <w:r>
        <w:rPr>
          <w:rFonts w:hint="default" w:ascii="Times New Roman" w:hAnsi="Times New Roman" w:eastAsia="楷体_GB2312" w:cs="Times New Roman"/>
          <w:color w:val="auto"/>
          <w:sz w:val="32"/>
          <w:szCs w:val="32"/>
          <w:lang w:val="en-US" w:eastAsia="zh-CN"/>
        </w:rPr>
        <w:t>）技术标准</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《关于印发城市市政基础设施普查和综合管理信息平台建设工作指导手册的函》（建办城函〔2021〕208号）；</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《建筑工程设计文件编制深度规定》；</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《广东省地下市政基础设施普查技术导则》；</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《广东省地下市政基础设施综合管理信息平台建设技术导则》；</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《广东省地下市政基础设施隐患排查技术导则》；</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《东莞市地下综合管线普查探测技术规程》；</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《东莞市地下综合管线数据建库标准》；</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《东莞市地下管线工程竣工测量技术规定》；</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《广东省地下管线探测技术规程》（DBJ/T15-134-2018）；</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lang w:val="en-US" w:eastAsia="zh-CN"/>
        </w:rPr>
        <w:t>《东莞市地下市政基础设施普查技术规程》</w:t>
      </w:r>
      <w:r>
        <w:rPr>
          <w:rFonts w:hint="default" w:ascii="Times New Roman" w:hAnsi="Times New Roman" w:eastAsia="仿宋_GB2312" w:cs="Times New Roman"/>
          <w:color w:val="auto"/>
          <w:sz w:val="32"/>
          <w:szCs w:val="32"/>
          <w:lang w:val="en-US" w:eastAsia="zh-CN"/>
        </w:rPr>
        <w:t>；</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11.</w:t>
      </w:r>
      <w:r>
        <w:rPr>
          <w:rFonts w:hint="eastAsia" w:ascii="Times New Roman" w:hAnsi="Times New Roman" w:eastAsia="仿宋_GB2312" w:cs="Times New Roman"/>
          <w:color w:val="auto"/>
          <w:sz w:val="32"/>
          <w:szCs w:val="32"/>
          <w:lang w:val="en-US" w:eastAsia="zh-CN"/>
        </w:rPr>
        <w:t>《东莞市地下市政基础设施数据库建设规范》</w:t>
      </w:r>
      <w:r>
        <w:rPr>
          <w:rFonts w:hint="default" w:ascii="Times New Roman" w:hAnsi="Times New Roman" w:eastAsia="仿宋_GB2312" w:cs="Times New Roman"/>
          <w:color w:val="auto"/>
          <w:sz w:val="32"/>
          <w:szCs w:val="32"/>
          <w:lang w:val="en-US" w:eastAsia="zh-CN"/>
        </w:rPr>
        <w:t>；</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《城市地下管线探测技术规程》（CJJ61-2017）；</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val="en-US" w:eastAsia="zh-CN"/>
        </w:rPr>
        <w:t>《城市测量规范》(CJJ/T8-2011)；</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val="en-US" w:eastAsia="zh-CN"/>
        </w:rPr>
        <w:t>《国家基本比例尺地图图式第1部分：1:500、1:1000、1:2000地形图图式》（GB/T20257.1）；</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val="en-US" w:eastAsia="zh-CN"/>
        </w:rPr>
        <w:t>《管线测绘工程监理规程》（CH/T6009）；</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lang w:val="en-US" w:eastAsia="zh-CN"/>
        </w:rPr>
        <w:t>《城市工程地球物理探测规范》（CJJ/T7-2017）；</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val="en-US" w:eastAsia="zh-CN"/>
        </w:rPr>
        <w:t>《管线测量成果质量检验技术规程》（CH/T1033）；</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US" w:eastAsia="zh-CN"/>
        </w:rPr>
        <w:t>《测绘成果质量检查与验收》（GB/T24356）；</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lang w:val="en-US" w:eastAsia="zh-CN"/>
        </w:rPr>
        <w:t>其他国家、行业和地方相关技术标准、规范。</w:t>
      </w:r>
    </w:p>
    <w:p>
      <w:pPr>
        <w:pStyle w:val="19"/>
        <w:ind w:firstLine="720" w:firstLineChars="225"/>
        <w:jc w:val="both"/>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六</w:t>
      </w:r>
      <w:r>
        <w:rPr>
          <w:rFonts w:hint="default" w:ascii="Times New Roman" w:hAnsi="Times New Roman" w:eastAsia="楷体_GB2312" w:cs="Times New Roman"/>
          <w:color w:val="auto"/>
          <w:sz w:val="32"/>
          <w:szCs w:val="32"/>
          <w:lang w:val="en-US" w:eastAsia="zh-CN"/>
        </w:rPr>
        <w:t>）相关基础数据资料</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东莞市地下管线普查数据成果（</w:t>
      </w:r>
      <w:r>
        <w:rPr>
          <w:rFonts w:hint="eastAsia" w:ascii="Times New Roman" w:hAnsi="Times New Roman" w:eastAsia="仿宋_GB2312" w:cs="Times New Roman"/>
          <w:color w:val="auto"/>
          <w:sz w:val="32"/>
          <w:szCs w:val="32"/>
          <w:lang w:val="en-US" w:eastAsia="zh-CN"/>
        </w:rPr>
        <w:t>中心城区既有地下管线数据</w:t>
      </w:r>
      <w:r>
        <w:rPr>
          <w:rFonts w:hint="default" w:ascii="Times New Roman" w:hAnsi="Times New Roman" w:eastAsia="仿宋_GB2312" w:cs="Times New Roman"/>
          <w:color w:val="auto"/>
          <w:sz w:val="32"/>
          <w:szCs w:val="32"/>
          <w:lang w:val="en-US" w:eastAsia="zh-CN"/>
        </w:rPr>
        <w:t>）；</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东莞市普查区域范围内城市道路、街巷等用于普查单元划分的相关信息资料；</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市水务局掌握的给水管线、再生水管线、雨水管线、雨污合流管线等相关资料；</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市生态环境局掌握的地下污水管线相关资料；</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市</w:t>
      </w:r>
      <w:r>
        <w:rPr>
          <w:rFonts w:hint="eastAsia" w:ascii="Times New Roman" w:hAnsi="Times New Roman" w:eastAsia="仿宋_GB2312" w:cs="Times New Roman"/>
          <w:color w:val="auto"/>
          <w:sz w:val="32"/>
          <w:szCs w:val="32"/>
          <w:lang w:val="en-US" w:eastAsia="zh-CN"/>
        </w:rPr>
        <w:t>文化广电旅游体育局</w:t>
      </w:r>
      <w:r>
        <w:rPr>
          <w:rFonts w:hint="default" w:ascii="Times New Roman" w:hAnsi="Times New Roman" w:eastAsia="仿宋_GB2312" w:cs="Times New Roman"/>
          <w:color w:val="auto"/>
          <w:sz w:val="32"/>
          <w:szCs w:val="32"/>
          <w:lang w:val="en-US" w:eastAsia="zh-CN"/>
        </w:rPr>
        <w:t>掌握的</w:t>
      </w:r>
      <w:r>
        <w:rPr>
          <w:rFonts w:hint="eastAsia" w:ascii="Times New Roman" w:hAnsi="Times New Roman" w:eastAsia="仿宋_GB2312" w:cs="Times New Roman"/>
          <w:color w:val="auto"/>
          <w:sz w:val="32"/>
          <w:szCs w:val="32"/>
          <w:lang w:val="en-US" w:eastAsia="zh-CN"/>
        </w:rPr>
        <w:t>广播电视</w:t>
      </w:r>
      <w:r>
        <w:rPr>
          <w:rFonts w:hint="default" w:ascii="Times New Roman" w:hAnsi="Times New Roman" w:eastAsia="仿宋_GB2312" w:cs="Times New Roman"/>
          <w:color w:val="auto"/>
          <w:sz w:val="32"/>
          <w:szCs w:val="32"/>
          <w:lang w:val="en-US" w:eastAsia="zh-CN"/>
        </w:rPr>
        <w:t>管线相关资料；</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市工信局</w:t>
      </w:r>
      <w:r>
        <w:rPr>
          <w:rFonts w:hint="eastAsia" w:ascii="Times New Roman" w:hAnsi="Times New Roman" w:eastAsia="仿宋_GB2312" w:cs="Times New Roman"/>
          <w:color w:val="auto"/>
          <w:sz w:val="32"/>
          <w:szCs w:val="32"/>
          <w:lang w:val="en-US" w:eastAsia="zh-CN"/>
        </w:rPr>
        <w:t>、通建办及三大运营商</w:t>
      </w:r>
      <w:r>
        <w:rPr>
          <w:rFonts w:hint="default" w:ascii="Times New Roman" w:hAnsi="Times New Roman" w:eastAsia="仿宋_GB2312" w:cs="Times New Roman"/>
          <w:color w:val="auto"/>
          <w:sz w:val="32"/>
          <w:szCs w:val="32"/>
          <w:lang w:val="en-US" w:eastAsia="zh-CN"/>
        </w:rPr>
        <w:t>掌握的通信管线相关资料</w:t>
      </w:r>
      <w:r>
        <w:rPr>
          <w:rFonts w:hint="eastAsia" w:ascii="Times New Roman" w:hAnsi="Times New Roman" w:eastAsia="仿宋_GB2312" w:cs="Times New Roman"/>
          <w:color w:val="auto"/>
          <w:sz w:val="32"/>
          <w:szCs w:val="32"/>
          <w:lang w:val="en-US" w:eastAsia="zh-CN"/>
        </w:rPr>
        <w:t>；</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val="en-US" w:eastAsia="zh-CN"/>
        </w:rPr>
        <w:t>市供电局掌握的供电管线资料；</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val="en-US" w:eastAsia="zh-CN"/>
        </w:rPr>
        <w:t>市城市管理综合执法局掌握的燃气管线、路灯管线资料。</w:t>
      </w:r>
    </w:p>
    <w:p>
      <w:pPr>
        <w:pStyle w:val="19"/>
        <w:ind w:firstLine="720" w:firstLineChars="225"/>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二、费用预算及报价要求</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预算费用：332100元（含26年预算332100*70%=232470元，27年预算332100*30%=99630元）</w:t>
      </w:r>
      <w:r>
        <w:rPr>
          <w:rFonts w:hint="eastAsia" w:ascii="Times New Roman" w:eastAsia="仿宋_GB2312" w:cs="Times New Roman"/>
          <w:color w:val="auto"/>
          <w:sz w:val="32"/>
          <w:szCs w:val="32"/>
          <w:lang w:val="en-US" w:eastAsia="zh-CN"/>
        </w:rPr>
        <w:t>。</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报价要求：最高限价为332100元。</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上述报价已包含</w:t>
      </w:r>
      <w:r>
        <w:rPr>
          <w:rFonts w:hint="eastAsia" w:ascii="Times New Roman" w:hAnsi="Times New Roman" w:eastAsia="仿宋_GB2312" w:cs="Times New Roman"/>
          <w:color w:val="auto"/>
          <w:sz w:val="32"/>
          <w:szCs w:val="32"/>
          <w:lang w:val="en-US" w:eastAsia="zh-CN"/>
        </w:rPr>
        <w:t>中心城区既有地下管线数据处理及全过程监理咨询服务</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全市既有地下管线数据库整合</w:t>
      </w:r>
      <w:r>
        <w:rPr>
          <w:rFonts w:hint="default" w:ascii="Times New Roman" w:hAnsi="Times New Roman" w:eastAsia="仿宋_GB2312" w:cs="Times New Roman"/>
          <w:color w:val="auto"/>
          <w:sz w:val="32"/>
          <w:szCs w:val="32"/>
          <w:lang w:val="en-US" w:eastAsia="zh-CN"/>
        </w:rPr>
        <w:t>和供应商工作人员的交通、差旅等费用</w:t>
      </w:r>
      <w:r>
        <w:rPr>
          <w:rFonts w:hint="eastAsia" w:ascii="Times New Roman" w:hAnsi="Times New Roman" w:eastAsia="仿宋_GB2312" w:cs="Times New Roman"/>
          <w:color w:val="auto"/>
          <w:sz w:val="32"/>
          <w:szCs w:val="32"/>
          <w:lang w:val="en-US" w:eastAsia="zh-CN"/>
        </w:rPr>
        <w:t>；</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上述报价，</w:t>
      </w:r>
      <w:r>
        <w:rPr>
          <w:rFonts w:hint="eastAsia" w:ascii="Times New Roman" w:hAnsi="Times New Roman" w:eastAsia="仿宋_GB2312" w:cs="Times New Roman"/>
          <w:color w:val="auto"/>
          <w:sz w:val="32"/>
          <w:szCs w:val="32"/>
          <w:lang w:val="en-US" w:eastAsia="zh-CN"/>
        </w:rPr>
        <w:t>包含1场次专家成果验收相关费用；</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供应商应根据本企业的成本自行决定报价，但不得以低于其企业成本的报价；报价总价低于预算限额的80%的，供应商必须对该报价做出报价合理性说明</w:t>
      </w:r>
      <w:r>
        <w:rPr>
          <w:rFonts w:hint="eastAsia" w:ascii="Times New Roman" w:hAnsi="Times New Roman" w:eastAsia="仿宋_GB2312" w:cs="Times New Roman"/>
          <w:color w:val="auto"/>
          <w:sz w:val="32"/>
          <w:szCs w:val="32"/>
          <w:lang w:val="en-US" w:eastAsia="zh-CN"/>
        </w:rPr>
        <w:t>；</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供应商的报价说明是否合理，由评委小组判定（评委小组由东莞市</w:t>
      </w:r>
      <w:r>
        <w:rPr>
          <w:rFonts w:hint="eastAsia" w:ascii="Times New Roman" w:hAnsi="Times New Roman" w:eastAsia="仿宋_GB2312" w:cs="Times New Roman"/>
          <w:color w:val="auto"/>
          <w:sz w:val="32"/>
          <w:szCs w:val="32"/>
          <w:lang w:val="en-US" w:eastAsia="zh-CN"/>
        </w:rPr>
        <w:t>住房和城乡建设局</w:t>
      </w:r>
      <w:r>
        <w:rPr>
          <w:rFonts w:hint="default" w:ascii="Times New Roman" w:hAnsi="Times New Roman" w:eastAsia="仿宋_GB2312" w:cs="Times New Roman"/>
          <w:color w:val="auto"/>
          <w:sz w:val="32"/>
          <w:szCs w:val="32"/>
          <w:lang w:val="en-US" w:eastAsia="zh-CN"/>
        </w:rPr>
        <w:t>相关部门负责人及相关业务骨干组成）</w:t>
      </w:r>
      <w:r>
        <w:rPr>
          <w:rFonts w:hint="eastAsia" w:ascii="Times New Roman" w:hAnsi="Times New Roman" w:eastAsia="仿宋_GB2312" w:cs="Times New Roman"/>
          <w:color w:val="auto"/>
          <w:sz w:val="32"/>
          <w:szCs w:val="32"/>
          <w:lang w:val="en-US" w:eastAsia="zh-CN"/>
        </w:rPr>
        <w:t>；</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供应商的报价不得超过预算限额</w:t>
      </w:r>
      <w:r>
        <w:rPr>
          <w:rFonts w:hint="eastAsia" w:ascii="Times New Roman" w:hAnsi="Times New Roman" w:eastAsia="仿宋_GB2312" w:cs="Times New Roman"/>
          <w:color w:val="auto"/>
          <w:sz w:val="32"/>
          <w:szCs w:val="32"/>
          <w:lang w:val="en-US" w:eastAsia="zh-CN"/>
        </w:rPr>
        <w:t>；</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供应商的报价，应是本项目采购需求及合同条款上所列的各项内容中所述的全部，不得以任何理由予以重复，并以供应商在报价文件中提出的综合单价或总价为依据</w:t>
      </w:r>
      <w:r>
        <w:rPr>
          <w:rFonts w:hint="eastAsia" w:ascii="Times New Roman" w:hAnsi="Times New Roman" w:eastAsia="仿宋_GB2312" w:cs="Times New Roman"/>
          <w:color w:val="auto"/>
          <w:sz w:val="32"/>
          <w:szCs w:val="32"/>
          <w:lang w:val="en-US" w:eastAsia="zh-CN"/>
        </w:rPr>
        <w:t>；</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供应商应先到项目地点踏勘以充分了解项目的位置、情况、道路及任何其它足以影响报价的情况，任何因忽视或误解项目情况而</w:t>
      </w:r>
      <w:r>
        <w:rPr>
          <w:rFonts w:hint="eastAsia" w:ascii="Times New Roman" w:hAnsi="Times New Roman" w:eastAsia="仿宋_GB2312" w:cs="Times New Roman"/>
          <w:color w:val="auto"/>
          <w:sz w:val="32"/>
          <w:szCs w:val="32"/>
          <w:lang w:val="en-US" w:eastAsia="zh-CN"/>
        </w:rPr>
        <w:t>导致</w:t>
      </w:r>
      <w:r>
        <w:rPr>
          <w:rFonts w:hint="default" w:ascii="Times New Roman" w:hAnsi="Times New Roman" w:eastAsia="仿宋_GB2312" w:cs="Times New Roman"/>
          <w:color w:val="auto"/>
          <w:sz w:val="32"/>
          <w:szCs w:val="32"/>
          <w:lang w:val="en-US" w:eastAsia="zh-CN"/>
        </w:rPr>
        <w:t>索赔或服务期限延长申请将不获批准</w:t>
      </w:r>
      <w:r>
        <w:rPr>
          <w:rFonts w:hint="eastAsia" w:ascii="Times New Roman" w:hAnsi="Times New Roman" w:eastAsia="仿宋_GB2312" w:cs="Times New Roman"/>
          <w:color w:val="auto"/>
          <w:sz w:val="32"/>
          <w:szCs w:val="32"/>
          <w:lang w:val="en-US" w:eastAsia="zh-CN"/>
        </w:rPr>
        <w:t>；</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供应商不得期望通过索赔等方式获取补偿。</w:t>
      </w:r>
    </w:p>
    <w:p>
      <w:pPr>
        <w:pStyle w:val="19"/>
        <w:ind w:firstLine="720" w:firstLineChars="225"/>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三、供应商资格条件</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参照《中华人民共和国政府采购法》第二十二条规定，供应商须符合以下条件：</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1.具有独立承担民事责任的能力</w:t>
      </w:r>
      <w:r>
        <w:rPr>
          <w:rFonts w:hint="eastAsia" w:ascii="Times New Roman" w:eastAsia="仿宋_GB2312" w:cs="Times New Roman"/>
          <w:color w:val="auto"/>
          <w:sz w:val="32"/>
          <w:szCs w:val="32"/>
          <w:lang w:val="en-US" w:eastAsia="zh-CN"/>
        </w:rPr>
        <w:t>；</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2.具有依法缴纳税收和社会保障资金的良好记录</w:t>
      </w:r>
      <w:r>
        <w:rPr>
          <w:rFonts w:hint="eastAsia" w:ascii="Times New Roman" w:eastAsia="仿宋_GB2312" w:cs="Times New Roman"/>
          <w:color w:val="auto"/>
          <w:sz w:val="32"/>
          <w:szCs w:val="32"/>
          <w:lang w:val="en-US" w:eastAsia="zh-CN"/>
        </w:rPr>
        <w:t>；</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3.具有良好的商业信誉和健全的财务会计制度</w:t>
      </w:r>
      <w:r>
        <w:rPr>
          <w:rFonts w:hint="eastAsia" w:ascii="Times New Roman" w:eastAsia="仿宋_GB2312" w:cs="Times New Roman"/>
          <w:color w:val="auto"/>
          <w:sz w:val="32"/>
          <w:szCs w:val="32"/>
          <w:lang w:val="en-US" w:eastAsia="zh-CN"/>
        </w:rPr>
        <w:t>；</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4.具有履行合同所必需的设备和专业技术能力</w:t>
      </w:r>
      <w:r>
        <w:rPr>
          <w:rFonts w:hint="eastAsia" w:ascii="Times New Roman" w:eastAsia="仿宋_GB2312" w:cs="Times New Roman"/>
          <w:color w:val="auto"/>
          <w:sz w:val="32"/>
          <w:szCs w:val="32"/>
          <w:lang w:val="en-US" w:eastAsia="zh-CN"/>
        </w:rPr>
        <w:t>；</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参加采购活动前三年内，在经营活动中没有重大违法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Times New Roman" w:eastAsia="仿宋_GB2312" w:cs="Times New Roman"/>
          <w:color w:val="auto"/>
          <w:sz w:val="32"/>
          <w:szCs w:val="32"/>
          <w:lang w:val="en-US" w:eastAsia="zh-CN"/>
        </w:rPr>
        <w:t>；</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6.本项目接受联合体参与，不能转包。</w:t>
      </w:r>
    </w:p>
    <w:p>
      <w:pPr>
        <w:pStyle w:val="19"/>
        <w:ind w:firstLine="720" w:firstLineChars="225"/>
        <w:jc w:val="both"/>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四、项目服务内容</w:t>
      </w:r>
    </w:p>
    <w:p>
      <w:pPr>
        <w:pStyle w:val="19"/>
        <w:ind w:firstLine="720" w:firstLineChars="225"/>
        <w:jc w:val="both"/>
        <w:rPr>
          <w:rFonts w:hint="eastAsia"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（一）主要工作内容</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提供全过程监理及技术支撑服务，项目实施过程中对普查实施过程的工程进度、信息安全、数据质量等进行监督。</w:t>
      </w:r>
    </w:p>
    <w:p>
      <w:pPr>
        <w:pStyle w:val="19"/>
        <w:ind w:firstLine="722" w:firstLineChars="225"/>
        <w:jc w:val="both"/>
        <w:rPr>
          <w:rFonts w:hint="eastAsia" w:ascii="Times New Roman" w:hAnsi="Times New Roman" w:eastAsia="仿宋_GB2312" w:cs="Times New Roman"/>
          <w:b/>
          <w:color w:val="auto"/>
          <w:sz w:val="32"/>
          <w:szCs w:val="32"/>
          <w:lang w:val="en-US" w:eastAsia="zh-CN"/>
        </w:rPr>
      </w:pPr>
      <w:r>
        <w:rPr>
          <w:rFonts w:hint="eastAsia" w:ascii="Times New Roman" w:hAnsi="Times New Roman" w:eastAsia="仿宋_GB2312" w:cs="Times New Roman"/>
          <w:b/>
          <w:color w:val="auto"/>
          <w:sz w:val="32"/>
          <w:szCs w:val="32"/>
          <w:lang w:val="en-US" w:eastAsia="zh-CN"/>
        </w:rPr>
        <w:t>1.技术咨询服务</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为确保本项目按时保质保量完成，向采购人提供项目全过程技术支撑服务，包括协助采购人协调沟通普查单位和相关部门，提供技术指导、组织普查工作技术培训，全市地下管线普查成果数据整合及入库等项目相关工作。</w:t>
      </w:r>
    </w:p>
    <w:p>
      <w:pPr>
        <w:pStyle w:val="19"/>
        <w:ind w:firstLine="722" w:firstLineChars="225"/>
        <w:jc w:val="both"/>
        <w:rPr>
          <w:rFonts w:hint="eastAsia" w:ascii="Times New Roman" w:hAnsi="Times New Roman" w:eastAsia="仿宋_GB2312" w:cs="Times New Roman"/>
          <w:b/>
          <w:color w:val="auto"/>
          <w:sz w:val="32"/>
          <w:szCs w:val="32"/>
          <w:lang w:val="en-US" w:eastAsia="zh-CN"/>
        </w:rPr>
      </w:pPr>
      <w:r>
        <w:rPr>
          <w:rFonts w:hint="eastAsia" w:ascii="Times New Roman" w:hAnsi="Times New Roman" w:eastAsia="仿宋_GB2312" w:cs="Times New Roman"/>
          <w:b/>
          <w:color w:val="auto"/>
          <w:sz w:val="32"/>
          <w:szCs w:val="32"/>
          <w:lang w:val="en-US" w:eastAsia="zh-CN"/>
        </w:rPr>
        <w:t>2.全过程监理服务</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根据有关监理要求对本项目涉及的地下管线数据资料的收集、整理、数据升级相关工作过程进行全过程监理服务。</w:t>
      </w:r>
    </w:p>
    <w:p>
      <w:pPr>
        <w:pStyle w:val="19"/>
        <w:ind w:firstLine="720" w:firstLineChars="225"/>
        <w:jc w:val="both"/>
        <w:rPr>
          <w:rFonts w:hint="eastAsia"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（二）服务要求</w:t>
      </w:r>
    </w:p>
    <w:p>
      <w:pPr>
        <w:pStyle w:val="19"/>
        <w:ind w:firstLine="722" w:firstLineChars="225"/>
        <w:jc w:val="both"/>
        <w:rPr>
          <w:rFonts w:hint="eastAsia" w:ascii="Times New Roman" w:hAnsi="Times New Roman" w:eastAsia="仿宋_GB2312" w:cs="Times New Roman"/>
          <w:b/>
          <w:color w:val="auto"/>
          <w:sz w:val="32"/>
          <w:szCs w:val="32"/>
          <w:lang w:val="en-US" w:eastAsia="zh-CN"/>
        </w:rPr>
      </w:pPr>
      <w:r>
        <w:rPr>
          <w:rFonts w:hint="eastAsia" w:ascii="Times New Roman" w:hAnsi="Times New Roman" w:eastAsia="仿宋_GB2312" w:cs="Times New Roman"/>
          <w:b/>
          <w:color w:val="auto"/>
          <w:sz w:val="32"/>
          <w:szCs w:val="32"/>
          <w:lang w:val="en-US" w:eastAsia="zh-CN"/>
        </w:rPr>
        <w:t>1.技术咨询服务</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参与东莞市地下市政基础设施普查实施管理工作，并提供全过程技术咨询服务，保障项目顺利进行。</w:t>
      </w:r>
    </w:p>
    <w:p>
      <w:pPr>
        <w:pStyle w:val="19"/>
        <w:ind w:firstLine="722" w:firstLineChars="225"/>
        <w:jc w:val="both"/>
        <w:rPr>
          <w:rFonts w:hint="eastAsia" w:ascii="Times New Roman" w:hAnsi="Times New Roman" w:eastAsia="仿宋_GB2312" w:cs="Times New Roman"/>
          <w:b/>
          <w:color w:val="auto"/>
          <w:sz w:val="32"/>
          <w:szCs w:val="32"/>
          <w:lang w:val="en-US" w:eastAsia="zh-CN"/>
        </w:rPr>
      </w:pPr>
      <w:r>
        <w:rPr>
          <w:rFonts w:hint="eastAsia" w:ascii="Times New Roman" w:hAnsi="Times New Roman" w:eastAsia="仿宋_GB2312" w:cs="Times New Roman"/>
          <w:b/>
          <w:color w:val="auto"/>
          <w:sz w:val="32"/>
          <w:szCs w:val="32"/>
          <w:lang w:val="en-US" w:eastAsia="zh-CN"/>
        </w:rPr>
        <w:t>2.全过程监理服务</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（1）总体工作要求</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中标人应严格遵守质量监督检查规范、国家现行的有关强制标准、规范的规定。公正、独立、自主地开展监理工作，维护采购人和普查单位的合法权益。</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中标人应对本项目的重点、难点，提出相应的质量监督检查控制手段、措施及有参考价值的建议，中标人编写的项目监理方案应包括全过程，包含工程概况、质量监督检查方式、对工程的理解、质量监督检查人员等内容。</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（2）项目进度管理</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根据采购人对本项目的要求，对各普查单位实施区工作各项内容的计划执行情况进行监理。督促普查单位按计划编制成果；定时向采购人报告普查单位各作业阶段及各道工序的实际进度，如实反映作业状态和工作进展；与普查单位一起分析影响作业进度的各种问题，制定解决问题的方案并及时将执行结果向采购人报告。</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（3）项目质量管理</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①对普查单位作业人员的生产和质量管理体系是否完善和运作情况进行监理</w:t>
      </w:r>
      <w:r>
        <w:rPr>
          <w:rFonts w:hint="eastAsia" w:ascii="Times New Roman" w:eastAsia="仿宋_GB2312" w:cs="Times New Roman"/>
          <w:color w:val="auto"/>
          <w:sz w:val="32"/>
          <w:szCs w:val="32"/>
          <w:lang w:val="en-US" w:eastAsia="zh-CN"/>
        </w:rPr>
        <w:t>；</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②投入作业项目的管理和作业人员是否以不低于合同或投标文件所承诺的配置及时到位并长期在岗，设备投入和运行是否正常等进行现场考察、查验和记录</w:t>
      </w:r>
      <w:r>
        <w:rPr>
          <w:rFonts w:hint="eastAsia" w:ascii="Times New Roman" w:eastAsia="仿宋_GB2312" w:cs="Times New Roman"/>
          <w:color w:val="auto"/>
          <w:sz w:val="32"/>
          <w:szCs w:val="32"/>
          <w:lang w:val="en-US" w:eastAsia="zh-CN"/>
        </w:rPr>
        <w:t>；</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③对各项测绘项目内容阶段性成果进行平行质量检查，检验各项成果质量符合规范和设计的情况。</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（4）信息安全管理</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按照地下管线数据使用有关规定，负责对地下管线基础信息进行脱敏、分发及使用监督工作。</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（5）项目信息管理</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①及时向采购人提交反映项目动态和监理工作情况的项目文档；</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②建立全面、准确反映项目各阶段工程状况的图表、文档，收集、管理项目各类文档和资料；</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③督促、检查普查单位及时完成各阶段设备资料、工程技术资料的整理和归档工作；</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④转发采购人发出的</w:t>
      </w:r>
      <w:r>
        <w:rPr>
          <w:rFonts w:hint="eastAsia" w:ascii="Times New Roman" w:eastAsia="仿宋_GB2312" w:cs="Times New Roman"/>
          <w:color w:val="auto"/>
          <w:sz w:val="32"/>
          <w:szCs w:val="32"/>
          <w:lang w:val="en-US" w:eastAsia="zh-CN"/>
        </w:rPr>
        <w:t>相关</w:t>
      </w:r>
      <w:r>
        <w:rPr>
          <w:rFonts w:hint="eastAsia" w:ascii="Times New Roman" w:hAnsi="Times New Roman" w:eastAsia="仿宋_GB2312" w:cs="Times New Roman"/>
          <w:color w:val="auto"/>
          <w:sz w:val="32"/>
          <w:szCs w:val="32"/>
          <w:lang w:val="en-US" w:eastAsia="zh-CN"/>
        </w:rPr>
        <w:t>指示、通知和业务联系单。</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（6）项目文件的管理</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①中标人应负责以下文档的编写：</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a．项目监理周报</w:t>
      </w:r>
      <w:r>
        <w:rPr>
          <w:rFonts w:hint="eastAsia" w:asci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包括反映业务需求的处理情况</w:t>
      </w:r>
      <w:r>
        <w:rPr>
          <w:rFonts w:hint="eastAsia" w:asci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及项目大事记</w:t>
      </w:r>
      <w:r>
        <w:rPr>
          <w:rFonts w:hint="eastAsia" w:ascii="Times New Roman" w:eastAsia="仿宋_GB2312" w:cs="Times New Roman"/>
          <w:color w:val="auto"/>
          <w:sz w:val="32"/>
          <w:szCs w:val="32"/>
          <w:lang w:val="en-US" w:eastAsia="zh-CN"/>
        </w:rPr>
        <w:t>；</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b．项目协调会、技术研讨会等各类会议的纪要；</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c．阶段性项目总结、阶段性项目监理总结、各类监理通知</w:t>
      </w:r>
      <w:r>
        <w:rPr>
          <w:rFonts w:hint="eastAsia" w:ascii="Times New Roman" w:eastAsia="仿宋_GB2312" w:cs="Times New Roman"/>
          <w:color w:val="auto"/>
          <w:sz w:val="32"/>
          <w:szCs w:val="32"/>
          <w:lang w:val="en-US" w:eastAsia="zh-CN"/>
        </w:rPr>
        <w:t>；</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d．项目生命周期环节中，对里程碑阶段（成果性文件评审、合同验收）产生的文档，要求中标人根据相关规范制定里程碑阶段文档标准，并对所监理的项目进行统一规范。</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②中标人应参与以下文档的管理：</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a．项目实施期间各类技术文件；</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b．合同执行过程中的各类往来文件及存档。</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（7）项目会议制度</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①为保证监理工作的开展和实施协调，中标人可组织必要的会议：</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a．项目协调会；</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b．项目专题研讨会；</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c．项目问题通报会；</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d．项目阶段及最终验收会。</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②中标人还应积极参加以下会议：</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a．项目专家论证评审会；</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b．项目阶段工作总结会；</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③要求中标人必须在会议中做好记录，并于会议结束前整理出会议纪要，给各方当场签证确认。</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（8）组织协调</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①监督各方履行职责，协调各方的工作关系；</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②建立畅通的沟通平台和沟通渠道，采取有效措施使项目信息在有关各方之间保持顺畅流通，积极协调项目各方之间的关系，推动项目实施过程中问题的解决；</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③确立项目安全监督的工作目标。</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（9）知识产权管理</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①监督各标段普查单位在项目实施过程中所产生成果的知识产权保护，</w:t>
      </w:r>
      <w:r>
        <w:rPr>
          <w:rFonts w:hint="eastAsia" w:ascii="Times New Roman" w:eastAsia="仿宋_GB2312" w:cs="Times New Roman"/>
          <w:color w:val="auto"/>
          <w:sz w:val="32"/>
          <w:szCs w:val="32"/>
          <w:lang w:val="en-US" w:eastAsia="zh-CN"/>
        </w:rPr>
        <w:t>确保</w:t>
      </w:r>
      <w:r>
        <w:rPr>
          <w:rFonts w:hint="eastAsia" w:ascii="Times New Roman" w:hAnsi="Times New Roman" w:eastAsia="仿宋_GB2312" w:cs="Times New Roman"/>
          <w:color w:val="auto"/>
          <w:sz w:val="32"/>
          <w:szCs w:val="32"/>
          <w:lang w:val="en-US" w:eastAsia="zh-CN"/>
        </w:rPr>
        <w:t>不被非授权使用；</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②监督各标段普查单位在相关成果授权使用的合法性</w:t>
      </w:r>
      <w:r>
        <w:rPr>
          <w:rFonts w:hint="eastAsia" w:ascii="Times New Roman" w:eastAsia="仿宋_GB2312" w:cs="Times New Roman"/>
          <w:color w:val="auto"/>
          <w:sz w:val="32"/>
          <w:szCs w:val="32"/>
          <w:lang w:val="en-US" w:eastAsia="zh-CN"/>
        </w:rPr>
        <w:t>；</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③在普查工作过程中和普查结束后，要严格遵守各项保密管理规定，强化数据安全和信息安全意识，认真保管各类普查资料，严格履行涉密成果领用手续，加强过程数据和最终成果的保密管理，确保不发生泄密事件。</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（10）其他要求</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①中标人要建立畅通的沟通平台和沟通渠道，采取有效措施使项目信息在有关各方之间保持顺畅流通，积极协调项目各方之间的关系，推动项目实施过程中问题的解决；</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②中标人根据项目技术指标和要求，对普查单位提交的最终成果进行质量检验并提出书面项目质量监理报告，并将最终成果经专家验收会通过</w:t>
      </w:r>
      <w:r>
        <w:rPr>
          <w:rFonts w:hint="eastAsia" w:ascii="Times New Roman" w:eastAsia="仿宋_GB2312" w:cs="Times New Roman"/>
          <w:color w:val="auto"/>
          <w:sz w:val="32"/>
          <w:szCs w:val="32"/>
          <w:lang w:val="en-US" w:eastAsia="zh-CN"/>
        </w:rPr>
        <w:t>；</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③中标人专业监理工程师必须具备测绘相关专业的中级（含）以上资格，曾参与完成过测量项目工作，各专业配备人员应满足项目各工序作业时的监理和质量监督检查需要，项目人员不得随意更换，如确需更换须经采购人同意，且拟更换人员应具备同等或以上专业技术资格。项目执行期间更换数量不得超过项目人员总数的20%。</w:t>
      </w:r>
    </w:p>
    <w:p>
      <w:pPr>
        <w:pStyle w:val="19"/>
        <w:ind w:firstLine="720" w:firstLineChars="225"/>
        <w:jc w:val="both"/>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（三）进度要求</w:t>
      </w:r>
    </w:p>
    <w:p>
      <w:pPr>
        <w:widowControl/>
        <w:kinsoku w:val="0"/>
        <w:autoSpaceDE w:val="0"/>
        <w:adjustRightInd w:val="0"/>
        <w:snapToGrid w:val="0"/>
        <w:spacing w:line="560" w:lineRule="exact"/>
        <w:ind w:firstLine="600" w:firstLineChars="200"/>
        <w:textAlignment w:val="baseline"/>
        <w:rPr>
          <w:rFonts w:hint="eastAsia" w:ascii="Times New Roman" w:hAnsi="Times New Roman" w:eastAsia="仿宋_GB2312" w:cs="Times New Roman"/>
          <w:sz w:val="30"/>
          <w:szCs w:val="30"/>
          <w:shd w:val="clear" w:color="auto" w:fill="FFFFFF"/>
          <w:lang w:val="en-US" w:eastAsia="zh-CN"/>
        </w:rPr>
      </w:pPr>
      <w:r>
        <w:rPr>
          <w:rFonts w:hint="eastAsia" w:ascii="Times New Roman" w:hAnsi="Times New Roman" w:eastAsia="仿宋_GB2312" w:cs="Times New Roman"/>
          <w:sz w:val="30"/>
          <w:szCs w:val="30"/>
          <w:shd w:val="clear" w:color="auto" w:fill="FFFFFF"/>
          <w:lang w:val="en-US" w:eastAsia="zh-CN"/>
        </w:rPr>
        <w:t>项目工程监理、数据质量检查根据2026年东莞市中心城区既有地下管线数据库属性升级项目实际工作情况做好相应进度监理、质量监理、信息管理及技术支撑工作，在成果资料提交完成1个月内，协助组织开展普查成果专家验收工作，并于2027年12月31日前完成项目所有工作。</w:t>
      </w:r>
    </w:p>
    <w:p>
      <w:pPr>
        <w:pStyle w:val="19"/>
        <w:ind w:firstLine="720" w:firstLineChars="225"/>
        <w:jc w:val="both"/>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（四）</w:t>
      </w:r>
      <w:r>
        <w:rPr>
          <w:rFonts w:hint="eastAsia" w:ascii="Times New Roman" w:hAnsi="Times New Roman" w:eastAsia="楷体_GB2312" w:cs="Times New Roman"/>
          <w:color w:val="auto"/>
          <w:sz w:val="32"/>
          <w:szCs w:val="32"/>
          <w:lang w:val="en-US" w:eastAsia="zh-CN"/>
        </w:rPr>
        <w:t>信息安全</w:t>
      </w:r>
      <w:r>
        <w:rPr>
          <w:rFonts w:hint="default" w:ascii="Times New Roman" w:hAnsi="Times New Roman" w:eastAsia="楷体_GB2312" w:cs="Times New Roman"/>
          <w:color w:val="auto"/>
          <w:sz w:val="32"/>
          <w:szCs w:val="32"/>
          <w:lang w:val="en-US" w:eastAsia="zh-CN"/>
        </w:rPr>
        <w:t>要求</w:t>
      </w:r>
    </w:p>
    <w:p>
      <w:pPr>
        <w:widowControl/>
        <w:kinsoku w:val="0"/>
        <w:autoSpaceDE w:val="0"/>
        <w:adjustRightInd w:val="0"/>
        <w:snapToGrid w:val="0"/>
        <w:spacing w:line="560" w:lineRule="exact"/>
        <w:ind w:firstLine="600" w:firstLineChars="200"/>
        <w:textAlignment w:val="baseline"/>
        <w:rPr>
          <w:rFonts w:hint="default" w:ascii="Times New Roman" w:hAnsi="Times New Roman" w:eastAsia="仿宋_GB2312" w:cs="Times New Roman"/>
          <w:b w:val="0"/>
          <w:bCs w:val="0"/>
          <w:sz w:val="30"/>
          <w:szCs w:val="30"/>
          <w:shd w:val="clear" w:color="auto" w:fill="FFFFFF"/>
          <w:lang w:val="en-US" w:eastAsia="zh-CN"/>
        </w:rPr>
      </w:pPr>
      <w:r>
        <w:rPr>
          <w:rFonts w:hint="default" w:ascii="Times New Roman" w:hAnsi="Times New Roman" w:eastAsia="仿宋_GB2312" w:cs="Times New Roman"/>
          <w:b w:val="0"/>
          <w:bCs w:val="0"/>
          <w:sz w:val="30"/>
          <w:szCs w:val="30"/>
          <w:shd w:val="clear" w:color="auto" w:fill="FFFFFF"/>
          <w:lang w:val="en-US" w:eastAsia="zh-CN"/>
        </w:rPr>
        <w:t>项目实施全过程</w:t>
      </w:r>
      <w:r>
        <w:rPr>
          <w:rFonts w:hint="eastAsia" w:ascii="Times New Roman" w:hAnsi="Times New Roman" w:eastAsia="仿宋_GB2312" w:cs="Times New Roman"/>
          <w:b w:val="0"/>
          <w:bCs w:val="0"/>
          <w:sz w:val="30"/>
          <w:szCs w:val="30"/>
          <w:shd w:val="clear" w:color="auto" w:fill="FFFFFF"/>
          <w:lang w:val="en-US" w:eastAsia="zh-CN"/>
        </w:rPr>
        <w:t>防止</w:t>
      </w:r>
      <w:r>
        <w:rPr>
          <w:rFonts w:hint="default" w:ascii="Times New Roman" w:hAnsi="Times New Roman" w:eastAsia="仿宋_GB2312" w:cs="Times New Roman"/>
          <w:b w:val="0"/>
          <w:bCs w:val="0"/>
          <w:sz w:val="30"/>
          <w:szCs w:val="30"/>
          <w:shd w:val="clear" w:color="auto" w:fill="FFFFFF"/>
          <w:lang w:val="en-US" w:eastAsia="zh-CN"/>
        </w:rPr>
        <w:t>发生</w:t>
      </w:r>
      <w:r>
        <w:rPr>
          <w:rFonts w:hint="eastAsia" w:ascii="Times New Roman" w:hAnsi="Times New Roman" w:eastAsia="仿宋_GB2312" w:cs="Times New Roman"/>
          <w:b w:val="0"/>
          <w:bCs w:val="0"/>
          <w:sz w:val="30"/>
          <w:szCs w:val="30"/>
          <w:shd w:val="clear" w:color="auto" w:fill="FFFFFF"/>
          <w:lang w:val="en-US" w:eastAsia="zh-CN"/>
        </w:rPr>
        <w:t>数据泄漏事件</w:t>
      </w:r>
      <w:r>
        <w:rPr>
          <w:rFonts w:hint="default" w:ascii="Times New Roman" w:hAnsi="Times New Roman" w:eastAsia="仿宋_GB2312" w:cs="Times New Roman"/>
          <w:b w:val="0"/>
          <w:bCs w:val="0"/>
          <w:sz w:val="30"/>
          <w:szCs w:val="30"/>
          <w:shd w:val="clear" w:color="auto" w:fill="FFFFFF"/>
          <w:lang w:val="en-US" w:eastAsia="zh-CN"/>
        </w:rPr>
        <w:t>。</w:t>
      </w:r>
    </w:p>
    <w:p>
      <w:pPr>
        <w:pStyle w:val="19"/>
        <w:ind w:firstLine="720" w:firstLineChars="225"/>
        <w:jc w:val="both"/>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五</w:t>
      </w:r>
      <w:r>
        <w:rPr>
          <w:rFonts w:hint="eastAsia" w:ascii="Times New Roman" w:hAnsi="Times New Roman" w:eastAsia="黑体" w:cs="Times New Roman"/>
          <w:color w:val="auto"/>
          <w:sz w:val="32"/>
          <w:szCs w:val="32"/>
        </w:rPr>
        <w:t>、项目验收</w:t>
      </w:r>
    </w:p>
    <w:p>
      <w:pPr>
        <w:pStyle w:val="19"/>
        <w:ind w:firstLine="720" w:firstLineChars="225"/>
        <w:jc w:val="both"/>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（一）提交成果</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.东莞市</w:t>
      </w:r>
      <w:r>
        <w:rPr>
          <w:rFonts w:hint="eastAsia" w:ascii="Times New Roman" w:hAnsi="Times New Roman" w:eastAsia="仿宋_GB2312" w:cs="Times New Roman"/>
          <w:color w:val="auto"/>
          <w:sz w:val="32"/>
          <w:szCs w:val="32"/>
          <w:lang w:val="en-US" w:eastAsia="zh-CN"/>
        </w:rPr>
        <w:t>中心城区既有地下管线数据库升级</w:t>
      </w:r>
      <w:r>
        <w:rPr>
          <w:rFonts w:hint="default" w:ascii="Times New Roman" w:hAnsi="Times New Roman" w:eastAsia="仿宋_GB2312" w:cs="Times New Roman"/>
          <w:color w:val="auto"/>
          <w:sz w:val="32"/>
          <w:szCs w:val="32"/>
          <w:lang w:val="en-US" w:eastAsia="zh-CN"/>
        </w:rPr>
        <w:t>项目监理方案；</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.监理周报；</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.项目全过程监理原始资料；</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.项目监理报告；</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.普查工作动态问题库</w:t>
      </w:r>
      <w:r>
        <w:rPr>
          <w:rFonts w:hint="eastAsia" w:ascii="Times New Roman" w:hAnsi="Times New Roman" w:eastAsia="仿宋_GB2312" w:cs="Times New Roman"/>
          <w:color w:val="auto"/>
          <w:sz w:val="32"/>
          <w:szCs w:val="32"/>
          <w:lang w:val="en-US" w:eastAsia="zh-CN"/>
        </w:rPr>
        <w:t>；</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6.全市地下管线空间数据及补充数据整合成果。</w:t>
      </w:r>
    </w:p>
    <w:p>
      <w:pPr>
        <w:pStyle w:val="19"/>
        <w:ind w:firstLine="720" w:firstLineChars="225"/>
        <w:jc w:val="both"/>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（二）验收方式</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项目总体验收要求由中标人按本</w:t>
      </w:r>
      <w:r>
        <w:rPr>
          <w:rFonts w:hint="eastAsia" w:ascii="Times New Roman" w:hAnsi="Times New Roman" w:eastAsia="仿宋_GB2312" w:cs="Times New Roman"/>
          <w:color w:val="auto"/>
          <w:sz w:val="32"/>
          <w:szCs w:val="32"/>
          <w:lang w:val="en-US" w:eastAsia="zh-CN"/>
        </w:rPr>
        <w:t>项目的政策依据、技术标准提供监理报告并完成合同约定所有工作内容后，由采购人组织专家验收会进行验收。</w:t>
      </w:r>
    </w:p>
    <w:p>
      <w:pPr>
        <w:pStyle w:val="19"/>
        <w:ind w:firstLine="720" w:firstLineChars="225"/>
        <w:jc w:val="both"/>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六、信息安全保密要求</w:t>
      </w:r>
    </w:p>
    <w:p>
      <w:pPr>
        <w:pStyle w:val="19"/>
        <w:ind w:firstLine="720" w:firstLineChars="225"/>
        <w:jc w:val="both"/>
        <w:rPr>
          <w:rFonts w:hint="default" w:ascii="Times New Roman" w:hAnsi="Times New Roman" w:eastAsia="仿宋_GB2312" w:cs="Times New Roman"/>
          <w:color w:val="auto"/>
          <w:sz w:val="32"/>
          <w:szCs w:val="32"/>
          <w:lang w:val="en-US" w:eastAsia="zh-CN"/>
        </w:rPr>
      </w:pPr>
      <w:bookmarkStart w:id="0" w:name="_Toc46392684"/>
      <w:bookmarkStart w:id="1" w:name="_Toc46740436"/>
      <w:bookmarkStart w:id="2" w:name="_Toc46391569"/>
      <w:r>
        <w:rPr>
          <w:rFonts w:hint="default" w:ascii="Times New Roman" w:hAnsi="Times New Roman" w:eastAsia="仿宋_GB2312" w:cs="Times New Roman"/>
          <w:color w:val="auto"/>
          <w:sz w:val="32"/>
          <w:szCs w:val="32"/>
          <w:lang w:val="en-US" w:eastAsia="zh-CN"/>
        </w:rPr>
        <w:t>地下管线数据在国家行业中有保密的要求。本项目在开展数据收集、测量、分析、整理、更新、建库等环节中，均需要使用大量的相关基础数据，生产相关的基础数据，因此项目进行过程中，存在数据安全的风险。为确保数据安全，控制数据的使用与流转，应查找数据安全隐患并采取相应的防范措施，如下：</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（一）</w:t>
      </w:r>
      <w:r>
        <w:rPr>
          <w:rFonts w:hint="default" w:ascii="Times New Roman" w:hAnsi="Times New Roman" w:eastAsia="楷体_GB2312" w:cs="Times New Roman"/>
          <w:color w:val="auto"/>
          <w:sz w:val="32"/>
          <w:szCs w:val="32"/>
          <w:lang w:val="en-US" w:eastAsia="zh-CN"/>
        </w:rPr>
        <w:t>项目生产过程中的数据安全管理。</w:t>
      </w:r>
      <w:r>
        <w:rPr>
          <w:rFonts w:hint="default" w:ascii="Times New Roman" w:hAnsi="Times New Roman" w:eastAsia="仿宋_GB2312" w:cs="Times New Roman"/>
          <w:color w:val="auto"/>
          <w:sz w:val="32"/>
          <w:szCs w:val="32"/>
          <w:lang w:val="en-US" w:eastAsia="zh-CN"/>
        </w:rPr>
        <w:t>应在项目进展及管理过程中严格执行数据保密和信息安全相关规定，认真做好网络安全、计算机软硬件管理及数据安全等工作，落实保密工作责任制，凡涉及数据使用、生产的单位应签订保密责任书，并将保密责任落实到个人，强化各类涉密数据和档案的管理。</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（二）</w:t>
      </w:r>
      <w:r>
        <w:rPr>
          <w:rFonts w:hint="default" w:ascii="Times New Roman" w:hAnsi="Times New Roman" w:eastAsia="楷体_GB2312" w:cs="Times New Roman"/>
          <w:color w:val="auto"/>
          <w:sz w:val="32"/>
          <w:szCs w:val="32"/>
          <w:lang w:val="en-US" w:eastAsia="zh-CN"/>
        </w:rPr>
        <w:t>数据使用过程中的数据安全管理。</w:t>
      </w:r>
      <w:r>
        <w:rPr>
          <w:rFonts w:hint="default" w:ascii="Times New Roman" w:hAnsi="Times New Roman" w:eastAsia="仿宋_GB2312" w:cs="Times New Roman"/>
          <w:color w:val="auto"/>
          <w:sz w:val="32"/>
          <w:szCs w:val="32"/>
          <w:lang w:val="en-US" w:eastAsia="zh-CN"/>
        </w:rPr>
        <w:t>要求项目数据的使用单位均应符合相关保密要求，应具有涉密计算机和涉密管理人员，签订保密协议，落实安全责任。对数据使用的个人要开展保密教育，提高保密意识，并要求严格遵守相关数据保密管理及使用规定。</w:t>
      </w:r>
    </w:p>
    <w:p>
      <w:pPr>
        <w:pStyle w:val="19"/>
        <w:ind w:firstLine="720" w:firstLineChars="225"/>
        <w:jc w:val="both"/>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七、</w:t>
      </w:r>
      <w:bookmarkEnd w:id="0"/>
      <w:bookmarkEnd w:id="1"/>
      <w:bookmarkEnd w:id="2"/>
      <w:bookmarkStart w:id="3" w:name="_Toc67641269"/>
      <w:r>
        <w:rPr>
          <w:rFonts w:hint="eastAsia" w:ascii="Times New Roman" w:hAnsi="Times New Roman" w:eastAsia="黑体" w:cs="Times New Roman"/>
          <w:color w:val="auto"/>
          <w:sz w:val="32"/>
          <w:szCs w:val="32"/>
          <w:lang w:eastAsia="zh-CN"/>
        </w:rPr>
        <w:t>付款方式</w:t>
      </w:r>
      <w:bookmarkEnd w:id="3"/>
    </w:p>
    <w:p>
      <w:pPr>
        <w:pStyle w:val="19"/>
        <w:ind w:firstLine="720" w:firstLineChars="225"/>
        <w:jc w:val="both"/>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（一）本项目合同</w:t>
      </w:r>
      <w:r>
        <w:rPr>
          <w:rFonts w:hint="default" w:ascii="Times New Roman" w:hAnsi="Times New Roman" w:eastAsia="楷体_GB2312" w:cs="Times New Roman"/>
          <w:color w:val="auto"/>
          <w:sz w:val="32"/>
          <w:szCs w:val="32"/>
          <w:lang w:val="en-US" w:eastAsia="zh-CN"/>
        </w:rPr>
        <w:t>金额分</w:t>
      </w:r>
      <w:r>
        <w:rPr>
          <w:rFonts w:hint="eastAsia" w:ascii="Times New Roman" w:hAnsi="Times New Roman" w:eastAsia="楷体_GB2312" w:cs="Times New Roman"/>
          <w:color w:val="auto"/>
          <w:sz w:val="32"/>
          <w:szCs w:val="32"/>
          <w:lang w:val="en-US" w:eastAsia="zh-CN"/>
        </w:rPr>
        <w:t>三</w:t>
      </w:r>
      <w:r>
        <w:rPr>
          <w:rFonts w:hint="default" w:ascii="Times New Roman" w:hAnsi="Times New Roman" w:eastAsia="楷体_GB2312" w:cs="Times New Roman"/>
          <w:color w:val="auto"/>
          <w:sz w:val="32"/>
          <w:szCs w:val="32"/>
          <w:lang w:val="en-US" w:eastAsia="zh-CN"/>
        </w:rPr>
        <w:t>期结算</w:t>
      </w:r>
    </w:p>
    <w:p>
      <w:pPr>
        <w:pStyle w:val="19"/>
        <w:ind w:firstLine="720" w:firstLineChars="225"/>
        <w:jc w:val="both"/>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第一</w:t>
      </w:r>
      <w:r>
        <w:rPr>
          <w:rFonts w:hint="default" w:ascii="Times New Roman" w:hAnsi="Times New Roman" w:eastAsia="仿宋_GB2312" w:cs="Times New Roman"/>
          <w:color w:val="auto"/>
          <w:sz w:val="32"/>
          <w:szCs w:val="32"/>
        </w:rPr>
        <w:t>期：支付比例</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监理单位完成</w:t>
      </w:r>
      <w:r>
        <w:rPr>
          <w:rFonts w:hint="eastAsia" w:ascii="Times New Roman" w:hAnsi="Times New Roman" w:eastAsia="仿宋_GB2312" w:cs="Times New Roman"/>
          <w:color w:val="auto"/>
          <w:sz w:val="32"/>
          <w:szCs w:val="32"/>
          <w:lang w:eastAsia="zh-CN"/>
        </w:rPr>
        <w:t>中心城区</w:t>
      </w:r>
      <w:r>
        <w:rPr>
          <w:rFonts w:hint="eastAsia" w:ascii="Times New Roman" w:hAnsi="Times New Roman" w:eastAsia="仿宋_GB2312" w:cs="Times New Roman"/>
          <w:color w:val="auto"/>
          <w:sz w:val="32"/>
          <w:szCs w:val="32"/>
          <w:lang w:val="en-US" w:eastAsia="zh-CN"/>
        </w:rPr>
        <w:t>4个街道</w:t>
      </w:r>
      <w:r>
        <w:rPr>
          <w:rFonts w:hint="eastAsia" w:ascii="Times New Roman" w:hAnsi="Times New Roman" w:eastAsia="仿宋_GB2312" w:cs="Times New Roman"/>
          <w:color w:val="auto"/>
          <w:sz w:val="32"/>
          <w:szCs w:val="32"/>
          <w:lang w:eastAsia="zh-CN"/>
        </w:rPr>
        <w:t>既有地下管线数据库</w:t>
      </w:r>
      <w:r>
        <w:rPr>
          <w:rFonts w:hint="default" w:ascii="Times New Roman" w:hAnsi="Times New Roman" w:eastAsia="仿宋_GB2312" w:cs="Times New Roman"/>
          <w:color w:val="auto"/>
          <w:sz w:val="32"/>
          <w:szCs w:val="32"/>
        </w:rPr>
        <w:t>升级合同预估工作量的</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0%的监理工作，普查单位形成调查表及新建、迁改、废弃工程</w:t>
      </w:r>
      <w:r>
        <w:rPr>
          <w:rFonts w:hint="eastAsia" w:ascii="Times New Roman" w:hAnsi="Times New Roman" w:eastAsia="仿宋_GB2312" w:cs="Times New Roman"/>
          <w:color w:val="auto"/>
          <w:sz w:val="32"/>
          <w:szCs w:val="32"/>
          <w:lang w:eastAsia="zh-CN"/>
        </w:rPr>
        <w:t>台账</w:t>
      </w:r>
      <w:r>
        <w:rPr>
          <w:rFonts w:hint="default" w:ascii="Times New Roman" w:hAnsi="Times New Roman" w:eastAsia="仿宋_GB2312" w:cs="Times New Roman"/>
          <w:color w:val="auto"/>
          <w:sz w:val="32"/>
          <w:szCs w:val="32"/>
        </w:rPr>
        <w:t>，由中标人签字确认后支付合同成交价的</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w:t>
      </w:r>
    </w:p>
    <w:p>
      <w:pPr>
        <w:pStyle w:val="19"/>
        <w:ind w:firstLine="720" w:firstLineChars="225"/>
        <w:jc w:val="both"/>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第二</w:t>
      </w:r>
      <w:r>
        <w:rPr>
          <w:rFonts w:hint="default" w:ascii="Times New Roman" w:hAnsi="Times New Roman" w:eastAsia="仿宋_GB2312" w:cs="Times New Roman"/>
          <w:color w:val="auto"/>
          <w:sz w:val="32"/>
          <w:szCs w:val="32"/>
        </w:rPr>
        <w:t>期：支付比例</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监理单位完成</w:t>
      </w:r>
      <w:r>
        <w:rPr>
          <w:rFonts w:hint="eastAsia" w:ascii="Times New Roman" w:hAnsi="Times New Roman" w:eastAsia="仿宋_GB2312" w:cs="Times New Roman"/>
          <w:color w:val="auto"/>
          <w:sz w:val="32"/>
          <w:szCs w:val="32"/>
          <w:lang w:eastAsia="zh-CN"/>
        </w:rPr>
        <w:t>中心城</w:t>
      </w:r>
      <w:r>
        <w:rPr>
          <w:rFonts w:hint="default" w:ascii="Times New Roman" w:hAnsi="Times New Roman" w:eastAsia="仿宋_GB2312" w:cs="Times New Roman"/>
          <w:color w:val="auto"/>
          <w:sz w:val="32"/>
          <w:szCs w:val="32"/>
        </w:rPr>
        <w:t>区</w:t>
      </w:r>
      <w:r>
        <w:rPr>
          <w:rFonts w:hint="eastAsia" w:ascii="Times New Roman" w:hAnsi="Times New Roman" w:eastAsia="仿宋_GB2312" w:cs="Times New Roman"/>
          <w:color w:val="auto"/>
          <w:sz w:val="32"/>
          <w:szCs w:val="32"/>
          <w:lang w:val="en-US" w:eastAsia="zh-CN"/>
        </w:rPr>
        <w:t>4个街道</w:t>
      </w:r>
      <w:r>
        <w:rPr>
          <w:rFonts w:hint="default" w:ascii="Times New Roman" w:hAnsi="Times New Roman" w:eastAsia="仿宋_GB2312" w:cs="Times New Roman"/>
          <w:color w:val="auto"/>
          <w:sz w:val="32"/>
          <w:szCs w:val="32"/>
        </w:rPr>
        <w:t>管线升级监理</w:t>
      </w:r>
      <w:r>
        <w:rPr>
          <w:rFonts w:hint="eastAsia" w:ascii="Times New Roman" w:hAnsi="Times New Roman" w:eastAsia="仿宋_GB2312" w:cs="Times New Roman"/>
          <w:color w:val="auto"/>
          <w:sz w:val="32"/>
          <w:szCs w:val="32"/>
          <w:lang w:eastAsia="zh-CN"/>
        </w:rPr>
        <w:t>及初步成果数据质检工作，</w:t>
      </w:r>
      <w:r>
        <w:rPr>
          <w:rFonts w:hint="default" w:ascii="Times New Roman" w:hAnsi="Times New Roman" w:eastAsia="仿宋_GB2312" w:cs="Times New Roman"/>
          <w:color w:val="auto"/>
          <w:sz w:val="32"/>
          <w:szCs w:val="32"/>
        </w:rPr>
        <w:t>支付至合同成交价的70%；</w:t>
      </w:r>
    </w:p>
    <w:p>
      <w:pPr>
        <w:pStyle w:val="19"/>
        <w:ind w:firstLine="720" w:firstLineChars="225"/>
        <w:jc w:val="both"/>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第三</w:t>
      </w:r>
      <w:r>
        <w:rPr>
          <w:rFonts w:hint="default" w:ascii="Times New Roman" w:hAnsi="Times New Roman" w:eastAsia="仿宋_GB2312" w:cs="Times New Roman"/>
          <w:color w:val="auto"/>
          <w:sz w:val="32"/>
          <w:szCs w:val="32"/>
        </w:rPr>
        <w:t>期：支付比例30%</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2027年，</w:t>
      </w:r>
      <w:r>
        <w:rPr>
          <w:rFonts w:hint="eastAsia" w:ascii="Times New Roman" w:hAnsi="Times New Roman" w:eastAsia="仿宋_GB2312" w:cs="Times New Roman"/>
          <w:color w:val="auto"/>
          <w:sz w:val="32"/>
          <w:szCs w:val="32"/>
          <w:lang w:eastAsia="zh-CN"/>
        </w:rPr>
        <w:t>监理单位完成合同约定所有监理及</w:t>
      </w:r>
      <w:r>
        <w:rPr>
          <w:rFonts w:hint="default" w:ascii="Times New Roman" w:hAnsi="Times New Roman" w:eastAsia="仿宋_GB2312" w:cs="Times New Roman"/>
          <w:color w:val="auto"/>
          <w:sz w:val="32"/>
          <w:szCs w:val="32"/>
        </w:rPr>
        <w:t>相关技术支撑服务工作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提交所有监理成果资料</w:t>
      </w:r>
      <w:r>
        <w:rPr>
          <w:rFonts w:hint="eastAsia" w:ascii="Times New Roman" w:hAnsi="Times New Roman" w:eastAsia="仿宋_GB2312" w:cs="Times New Roman"/>
          <w:color w:val="auto"/>
          <w:sz w:val="32"/>
          <w:szCs w:val="32"/>
          <w:lang w:eastAsia="zh-CN"/>
        </w:rPr>
        <w:t>，初步成果经权属单位核验出具审查记录，</w:t>
      </w:r>
      <w:r>
        <w:rPr>
          <w:rFonts w:hint="default" w:ascii="Times New Roman" w:hAnsi="Times New Roman" w:eastAsia="仿宋_GB2312" w:cs="Times New Roman"/>
          <w:color w:val="auto"/>
          <w:sz w:val="32"/>
          <w:szCs w:val="32"/>
        </w:rPr>
        <w:t>并通过专家成果验收后支付至合同成交价的100%。</w:t>
      </w:r>
    </w:p>
    <w:p>
      <w:pPr>
        <w:pStyle w:val="19"/>
        <w:ind w:firstLine="720" w:firstLineChars="225"/>
        <w:jc w:val="both"/>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（二）第一</w:t>
      </w:r>
      <w:r>
        <w:rPr>
          <w:rFonts w:hint="default" w:ascii="Times New Roman" w:hAnsi="Times New Roman" w:eastAsia="楷体_GB2312" w:cs="Times New Roman"/>
          <w:color w:val="auto"/>
          <w:sz w:val="32"/>
          <w:szCs w:val="32"/>
          <w:lang w:val="en-US" w:eastAsia="zh-CN"/>
        </w:rPr>
        <w:t>至</w:t>
      </w:r>
      <w:r>
        <w:rPr>
          <w:rFonts w:hint="eastAsia" w:ascii="Times New Roman" w:hAnsi="Times New Roman" w:eastAsia="楷体_GB2312" w:cs="Times New Roman"/>
          <w:color w:val="auto"/>
          <w:sz w:val="32"/>
          <w:szCs w:val="32"/>
          <w:lang w:val="en-US" w:eastAsia="zh-CN"/>
        </w:rPr>
        <w:t>三期</w:t>
      </w:r>
      <w:r>
        <w:rPr>
          <w:rFonts w:hint="default" w:ascii="Times New Roman" w:hAnsi="Times New Roman" w:eastAsia="楷体_GB2312" w:cs="Times New Roman"/>
          <w:color w:val="auto"/>
          <w:sz w:val="32"/>
          <w:szCs w:val="32"/>
          <w:lang w:val="en-US" w:eastAsia="zh-CN"/>
        </w:rPr>
        <w:t>请款流程</w:t>
      </w:r>
    </w:p>
    <w:p>
      <w:pPr>
        <w:pStyle w:val="19"/>
        <w:ind w:firstLine="720" w:firstLineChars="225"/>
        <w:jc w:val="both"/>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具体费用付款额度、方式及时间以财政部门批复意见为准</w:t>
      </w:r>
      <w:r>
        <w:rPr>
          <w:rFonts w:hint="eastAsia" w:ascii="Times New Roman" w:hAnsi="Times New Roman" w:eastAsia="仿宋_GB2312" w:cs="Times New Roman"/>
          <w:color w:val="auto"/>
          <w:sz w:val="32"/>
          <w:szCs w:val="32"/>
          <w:lang w:eastAsia="zh-CN"/>
        </w:rPr>
        <w:t>。</w:t>
      </w:r>
    </w:p>
    <w:p>
      <w:pPr>
        <w:pStyle w:val="19"/>
        <w:ind w:firstLine="720" w:firstLineChars="225"/>
        <w:jc w:val="both"/>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项目实行总价包干制，总工作量达到或超过采购需求中约定的工作量时按中标价结算，未达到约定的工作量则按实际工作量结算</w:t>
      </w:r>
      <w:r>
        <w:rPr>
          <w:rFonts w:hint="eastAsia" w:ascii="Times New Roman" w:hAnsi="Times New Roman" w:eastAsia="仿宋_GB2312" w:cs="Times New Roman"/>
          <w:color w:val="auto"/>
          <w:sz w:val="32"/>
          <w:szCs w:val="32"/>
          <w:lang w:eastAsia="zh-CN"/>
        </w:rPr>
        <w:t>。</w:t>
      </w:r>
    </w:p>
    <w:p>
      <w:pPr>
        <w:pStyle w:val="19"/>
        <w:ind w:firstLine="720" w:firstLineChars="225"/>
        <w:jc w:val="both"/>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中标人应开具相应发票予采购人，采购人在收到发票后的十五个工作日内付款，如中标人未按采购人要求开具及交付发票，采购人付款期限相应顺延。本项目资金来源为财政资金，相关付款程序严格遵守东莞市（或项目所在镇街）政府财政资金支付程序规定</w:t>
      </w:r>
      <w:r>
        <w:rPr>
          <w:rFonts w:hint="eastAsia" w:ascii="Times New Roman" w:hAnsi="Times New Roman" w:eastAsia="仿宋_GB2312" w:cs="Times New Roman"/>
          <w:color w:val="auto"/>
          <w:sz w:val="32"/>
          <w:szCs w:val="32"/>
          <w:lang w:eastAsia="zh-CN"/>
        </w:rPr>
        <w:t>。</w:t>
      </w:r>
    </w:p>
    <w:p>
      <w:pPr>
        <w:pStyle w:val="19"/>
        <w:ind w:firstLine="720" w:firstLineChars="225"/>
        <w:jc w:val="both"/>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.采购人和</w:t>
      </w:r>
      <w:r>
        <w:rPr>
          <w:rFonts w:hint="default" w:ascii="Times New Roman" w:hAnsi="Times New Roman" w:eastAsia="仿宋_GB2312" w:cs="Times New Roman"/>
          <w:color w:val="auto"/>
          <w:sz w:val="32"/>
          <w:szCs w:val="32"/>
          <w:lang w:val="en-US" w:eastAsia="zh-CN"/>
        </w:rPr>
        <w:t>供应商</w:t>
      </w:r>
      <w:r>
        <w:rPr>
          <w:rFonts w:hint="default" w:ascii="Times New Roman" w:hAnsi="Times New Roman" w:eastAsia="仿宋_GB2312" w:cs="Times New Roman"/>
          <w:color w:val="auto"/>
          <w:sz w:val="32"/>
          <w:szCs w:val="32"/>
          <w:lang w:eastAsia="zh-CN"/>
        </w:rPr>
        <w:t>双方采用对公转账的支付方式进行结算。</w:t>
      </w:r>
    </w:p>
    <w:p>
      <w:pPr>
        <w:pStyle w:val="19"/>
        <w:ind w:firstLine="720" w:firstLineChars="225"/>
        <w:jc w:val="both"/>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.采购人付款前</w:t>
      </w:r>
      <w:r>
        <w:rPr>
          <w:rFonts w:hint="default" w:ascii="Times New Roman" w:hAnsi="Times New Roman" w:eastAsia="仿宋_GB2312" w:cs="Times New Roman"/>
          <w:color w:val="auto"/>
          <w:sz w:val="32"/>
          <w:szCs w:val="32"/>
          <w:lang w:val="en-US" w:eastAsia="zh-CN"/>
        </w:rPr>
        <w:t>供应商</w:t>
      </w:r>
      <w:r>
        <w:rPr>
          <w:rFonts w:hint="default" w:ascii="Times New Roman" w:hAnsi="Times New Roman" w:eastAsia="仿宋_GB2312" w:cs="Times New Roman"/>
          <w:color w:val="auto"/>
          <w:sz w:val="32"/>
          <w:szCs w:val="32"/>
          <w:lang w:eastAsia="zh-CN"/>
        </w:rPr>
        <w:t>应当开具相应合法的发票，否则采购人有权拒绝付款且不承担任何责任。</w:t>
      </w:r>
    </w:p>
    <w:p>
      <w:pPr>
        <w:pStyle w:val="19"/>
        <w:ind w:firstLine="720" w:firstLineChars="225"/>
        <w:jc w:val="both"/>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前款约定的付款时间为采购人向相关政府采购支付部门提出办理财政支付申请手续的时间（不含政府财政支付部门审核的时间），如采购人在前述约定的时间内提出相应的支付申请手续，即视为采购人已经按期支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具体到账时间以财政授权支付为准；因财政支付制度等不可抗力政府原因造成迟延支付的，采购人不构成违约，无需向中标人承担违约责任。</w:t>
      </w:r>
    </w:p>
    <w:p>
      <w:pPr>
        <w:pStyle w:val="19"/>
        <w:ind w:firstLine="720" w:firstLineChars="225"/>
        <w:jc w:val="both"/>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eastAsia="zh-CN"/>
        </w:rPr>
        <w:t>.因履行本项目合同所产生的相关税费由</w:t>
      </w:r>
      <w:r>
        <w:rPr>
          <w:rFonts w:hint="default" w:ascii="Times New Roman" w:hAnsi="Times New Roman" w:eastAsia="仿宋_GB2312" w:cs="Times New Roman"/>
          <w:color w:val="auto"/>
          <w:sz w:val="32"/>
          <w:szCs w:val="32"/>
          <w:lang w:val="en-US" w:eastAsia="zh-CN"/>
        </w:rPr>
        <w:t>供应商</w:t>
      </w:r>
      <w:r>
        <w:rPr>
          <w:rFonts w:hint="default" w:ascii="Times New Roman" w:hAnsi="Times New Roman" w:eastAsia="仿宋_GB2312" w:cs="Times New Roman"/>
          <w:color w:val="auto"/>
          <w:sz w:val="32"/>
          <w:szCs w:val="32"/>
          <w:lang w:eastAsia="zh-CN"/>
        </w:rPr>
        <w:t>承担。</w:t>
      </w:r>
    </w:p>
    <w:p>
      <w:pPr>
        <w:pStyle w:val="19"/>
        <w:ind w:firstLine="720" w:firstLineChars="225"/>
        <w:jc w:val="both"/>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八、保密责任与义务</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供应商需保证通过本项目实施过程中所获悉的属于采购方及采购方关联方的且无法自公开渠道获取的保密信息予以保密。未经采购方同意，供应商不得超出本项目合同约定的目的和范围使用采购方提供的信息，不得向任何第三方泄露该信息的全部或部分内容。</w:t>
      </w:r>
    </w:p>
    <w:p>
      <w:pPr>
        <w:pStyle w:val="19"/>
        <w:ind w:firstLine="720" w:firstLineChars="225"/>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上述保密义务，在本项目合同终止或解除之后仍需履行。</w:t>
      </w:r>
    </w:p>
    <w:p>
      <w:pPr>
        <w:pStyle w:val="19"/>
        <w:ind w:firstLine="720" w:firstLineChars="225"/>
        <w:jc w:val="both"/>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九、响应材料</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响应资料必须加盖公章后密封，并在封面上注明报价单位、联系人及联系电话，在封口处加贴封条和加盖公章，未作密封盖章处理或逾期送达的文件将视为无效。响应材料包括：</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《营业执照》复印件、法人代表身份证复印件（正、反面）；</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报价表(见附件1）；</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资格条件承诺函(见附件2）；</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供应商信用查询（查询渠道：“信用中国”www.creditchina.gov.cn；“中国政府采购网”http://www.ccgp.gov.cn/，查询时间截点：采购公告发布之日至响应文件提交截止时间前网页截图）；</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法定代表人授权书(模板见附件3,无授权代表可不提供）；</w:t>
      </w:r>
    </w:p>
    <w:p>
      <w:pPr>
        <w:pStyle w:val="19"/>
        <w:ind w:firstLine="720" w:firstLineChars="225"/>
        <w:jc w:val="both"/>
        <w:rPr>
          <w:rFonts w:hint="default" w:ascii="Times New Roman" w:hAnsi="Times New Roman" w:eastAsia="仿宋_GB2312" w:cs="Times New Roman"/>
          <w:color w:val="auto"/>
          <w:sz w:val="32"/>
          <w:szCs w:val="32"/>
          <w:lang w:val="en-US" w:eastAsia="zh-CN"/>
        </w:rPr>
      </w:pPr>
      <w:r>
        <w:rPr>
          <w:rFonts w:hint="eastAsia" w:asci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根据本《项目需求书》及《评审标准》要求编制并提供相应的资料（建议列索引表）</w:t>
      </w:r>
      <w:r>
        <w:rPr>
          <w:rFonts w:hint="eastAsia" w:ascii="Times New Roman" w:eastAsia="仿宋_GB2312" w:cs="Times New Roman"/>
          <w:color w:val="auto"/>
          <w:sz w:val="32"/>
          <w:szCs w:val="32"/>
          <w:lang w:val="en-US" w:eastAsia="zh-CN"/>
        </w:rPr>
        <w:t>；</w:t>
      </w:r>
    </w:p>
    <w:p>
      <w:pPr>
        <w:pStyle w:val="19"/>
        <w:ind w:firstLine="720" w:firstLineChars="225"/>
        <w:jc w:val="both"/>
        <w:rPr>
          <w:rFonts w:hint="default" w:ascii="Times New Roman" w:hAnsi="Times New Roman" w:eastAsia="仿宋_GB2312" w:cs="Times New Roman"/>
          <w:color w:val="auto"/>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Times New Roman" w:eastAsia="仿宋_GB2312" w:cs="Times New Roman"/>
          <w:color w:val="auto"/>
          <w:sz w:val="32"/>
          <w:szCs w:val="32"/>
          <w:lang w:val="en-US" w:eastAsia="zh-CN"/>
        </w:rPr>
        <w:t>（七）</w:t>
      </w:r>
      <w:bookmarkStart w:id="6" w:name="_GoBack"/>
      <w:bookmarkEnd w:id="6"/>
      <w:r>
        <w:rPr>
          <w:rFonts w:hint="default" w:ascii="Times New Roman" w:hAnsi="Times New Roman" w:eastAsia="仿宋_GB2312" w:cs="Times New Roman"/>
          <w:color w:val="auto"/>
          <w:sz w:val="32"/>
          <w:szCs w:val="32"/>
          <w:lang w:val="en-US" w:eastAsia="zh-CN"/>
        </w:rPr>
        <w:t>联合体共同投标协议书(模板见附件</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非联合体</w:t>
      </w:r>
      <w:r>
        <w:rPr>
          <w:rFonts w:hint="default" w:ascii="Times New Roman" w:hAnsi="Times New Roman" w:eastAsia="仿宋_GB2312" w:cs="Times New Roman"/>
          <w:color w:val="auto"/>
          <w:sz w:val="32"/>
          <w:szCs w:val="32"/>
          <w:lang w:val="en-US" w:eastAsia="zh-CN"/>
        </w:rPr>
        <w:t>可不提供）</w:t>
      </w:r>
      <w:r>
        <w:rPr>
          <w:rFonts w:hint="eastAsia" w:ascii="Times New Roman" w:eastAsia="仿宋_GB2312" w:cs="Times New Roman"/>
          <w:color w:val="auto"/>
          <w:sz w:val="32"/>
          <w:szCs w:val="32"/>
          <w:lang w:val="en-US" w:eastAsia="zh-CN"/>
        </w:rPr>
        <w:t>。</w:t>
      </w:r>
    </w:p>
    <w:p>
      <w:pPr>
        <w:spacing w:line="560" w:lineRule="exact"/>
        <w:ind w:firstLine="560" w:firstLineChars="200"/>
        <w:rPr>
          <w:rFonts w:hint="default" w:ascii="Times New Roman" w:hAnsi="Times New Roman" w:eastAsia="方正小标宋简体" w:cs="Times New Roman"/>
          <w:bCs/>
          <w:sz w:val="44"/>
          <w:szCs w:val="44"/>
          <w:lang w:val="zh-CN"/>
        </w:rPr>
      </w:pPr>
      <w:r>
        <w:rPr>
          <w:rFonts w:hint="default" w:ascii="Times New Roman" w:hAnsi="Times New Roman" w:eastAsia="仿宋_GB2312" w:cs="Times New Roman"/>
          <w:sz w:val="28"/>
          <w:szCs w:val="28"/>
        </w:rPr>
        <w:t>附件1</w:t>
      </w:r>
    </w:p>
    <w:p>
      <w:pPr>
        <w:spacing w:line="560" w:lineRule="exact"/>
        <w:jc w:val="center"/>
        <w:rPr>
          <w:rFonts w:eastAsia="方正小标宋简体"/>
          <w:bCs/>
          <w:sz w:val="44"/>
          <w:szCs w:val="44"/>
          <w:lang w:val="zh-CN"/>
        </w:rPr>
      </w:pPr>
      <w:r>
        <w:rPr>
          <w:rFonts w:eastAsia="方正小标宋简体"/>
          <w:bCs/>
          <w:sz w:val="44"/>
          <w:szCs w:val="44"/>
          <w:lang w:val="zh-CN"/>
        </w:rPr>
        <w:t>报价表</w:t>
      </w:r>
    </w:p>
    <w:p>
      <w:pPr>
        <w:keepNext/>
        <w:spacing w:line="380" w:lineRule="exact"/>
      </w:pPr>
      <w:r>
        <w:rPr>
          <w:b/>
          <w:bCs/>
          <w:sz w:val="22"/>
          <w:szCs w:val="22"/>
        </w:rPr>
        <w:t xml:space="preserve"> </w:t>
      </w:r>
      <w:r>
        <w:rPr>
          <w:rFonts w:eastAsia="仿宋_GB2312"/>
          <w:bCs/>
          <w:sz w:val="28"/>
          <w:szCs w:val="28"/>
        </w:rPr>
        <w:t>项目名称：</w:t>
      </w:r>
      <w:r>
        <w:rPr>
          <w:rFonts w:hint="default" w:ascii="Times New Roman" w:hAnsi="Times New Roman" w:eastAsia="仿宋_GB2312" w:cs="Times New Roman"/>
          <w:color w:val="000000"/>
          <w:sz w:val="30"/>
          <w:szCs w:val="30"/>
          <w:lang w:val="en-US" w:eastAsia="zh-CN"/>
        </w:rPr>
        <w:t>2026</w:t>
      </w:r>
      <w:r>
        <w:rPr>
          <w:rFonts w:hint="eastAsia" w:ascii="仿宋_GB2312" w:eastAsia="仿宋_GB2312" w:cs="仿宋_GB2312"/>
          <w:color w:val="000000"/>
          <w:sz w:val="30"/>
          <w:szCs w:val="30"/>
          <w:lang w:val="en-US" w:eastAsia="zh-CN"/>
        </w:rPr>
        <w:t>年东莞市中心城区</w:t>
      </w:r>
      <w:r>
        <w:rPr>
          <w:rFonts w:hint="eastAsia" w:ascii="仿宋_GB2312" w:eastAsia="仿宋_GB2312" w:cs="仿宋_GB2312"/>
          <w:color w:val="000000"/>
          <w:sz w:val="30"/>
          <w:szCs w:val="30"/>
        </w:rPr>
        <w:t>既有地下管线</w:t>
      </w:r>
      <w:r>
        <w:rPr>
          <w:rFonts w:hint="eastAsia" w:ascii="仿宋_GB2312" w:eastAsia="仿宋_GB2312" w:cs="仿宋_GB2312"/>
          <w:color w:val="000000"/>
          <w:sz w:val="30"/>
          <w:szCs w:val="30"/>
          <w:lang w:eastAsia="zh-CN"/>
        </w:rPr>
        <w:t>数据库</w:t>
      </w:r>
      <w:r>
        <w:rPr>
          <w:rFonts w:hint="eastAsia" w:ascii="仿宋_GB2312" w:eastAsia="仿宋_GB2312" w:cs="仿宋_GB2312"/>
          <w:color w:val="000000"/>
          <w:sz w:val="30"/>
          <w:szCs w:val="30"/>
        </w:rPr>
        <w:t>属性升级</w:t>
      </w:r>
      <w:r>
        <w:rPr>
          <w:rFonts w:hint="eastAsia" w:ascii="仿宋_GB2312" w:eastAsia="仿宋_GB2312" w:cs="仿宋_GB2312"/>
          <w:color w:val="000000"/>
          <w:sz w:val="30"/>
          <w:szCs w:val="30"/>
          <w:lang w:eastAsia="zh-CN"/>
        </w:rPr>
        <w:t>全过程</w:t>
      </w:r>
      <w:r>
        <w:rPr>
          <w:rFonts w:hint="eastAsia" w:ascii="仿宋_GB2312" w:eastAsia="仿宋_GB2312" w:cs="仿宋_GB2312"/>
          <w:color w:val="000000"/>
          <w:sz w:val="30"/>
          <w:szCs w:val="30"/>
        </w:rPr>
        <w:t>监理</w:t>
      </w:r>
      <w:r>
        <w:rPr>
          <w:rFonts w:hint="eastAsia" w:ascii="仿宋_GB2312" w:eastAsia="仿宋_GB2312" w:cs="仿宋_GB2312"/>
          <w:color w:val="000000"/>
          <w:sz w:val="30"/>
          <w:szCs w:val="30"/>
          <w:lang w:eastAsia="zh-CN"/>
        </w:rPr>
        <w:t>咨询技术服务项目</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2387"/>
        <w:gridCol w:w="2626"/>
        <w:gridCol w:w="1888"/>
        <w:gridCol w:w="1605"/>
        <w:gridCol w:w="4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44" w:type="pct"/>
            <w:noWrap w:val="0"/>
            <w:vAlign w:val="bottom"/>
          </w:tcPr>
          <w:p>
            <w:pPr>
              <w:adjustRightInd w:val="0"/>
              <w:snapToGrid w:val="0"/>
              <w:spacing w:line="360" w:lineRule="auto"/>
              <w:ind w:left="-420" w:leftChars="-200" w:firstLine="420" w:firstLineChars="150"/>
              <w:jc w:val="center"/>
              <w:rPr>
                <w:rFonts w:eastAsia="仿宋_GB2312"/>
                <w:sz w:val="28"/>
                <w:szCs w:val="28"/>
              </w:rPr>
            </w:pPr>
            <w:r>
              <w:rPr>
                <w:rFonts w:eastAsia="仿宋_GB2312"/>
                <w:sz w:val="28"/>
                <w:szCs w:val="28"/>
              </w:rPr>
              <w:t>序号</w:t>
            </w:r>
          </w:p>
        </w:tc>
        <w:tc>
          <w:tcPr>
            <w:tcW w:w="842" w:type="pct"/>
            <w:noWrap w:val="0"/>
            <w:vAlign w:val="bottom"/>
          </w:tcPr>
          <w:p>
            <w:pPr>
              <w:adjustRightInd w:val="0"/>
              <w:snapToGrid w:val="0"/>
              <w:spacing w:line="360" w:lineRule="auto"/>
              <w:jc w:val="center"/>
              <w:rPr>
                <w:rFonts w:eastAsia="仿宋_GB2312"/>
                <w:sz w:val="28"/>
                <w:szCs w:val="28"/>
              </w:rPr>
            </w:pPr>
            <w:r>
              <w:rPr>
                <w:rFonts w:eastAsia="仿宋_GB2312"/>
                <w:sz w:val="28"/>
                <w:szCs w:val="28"/>
              </w:rPr>
              <w:t>项目内容</w:t>
            </w:r>
          </w:p>
        </w:tc>
        <w:tc>
          <w:tcPr>
            <w:tcW w:w="926" w:type="pct"/>
            <w:noWrap w:val="0"/>
            <w:vAlign w:val="bottom"/>
          </w:tcPr>
          <w:p>
            <w:pPr>
              <w:adjustRightInd w:val="0"/>
              <w:snapToGrid w:val="0"/>
              <w:spacing w:line="360" w:lineRule="auto"/>
              <w:jc w:val="center"/>
              <w:rPr>
                <w:rFonts w:eastAsia="仿宋_GB2312"/>
                <w:sz w:val="28"/>
                <w:szCs w:val="28"/>
              </w:rPr>
            </w:pPr>
            <w:r>
              <w:rPr>
                <w:rFonts w:hint="eastAsia" w:eastAsia="仿宋_GB2312"/>
                <w:sz w:val="28"/>
                <w:szCs w:val="28"/>
              </w:rPr>
              <w:t>合同</w:t>
            </w:r>
            <w:r>
              <w:rPr>
                <w:rFonts w:eastAsia="仿宋_GB2312"/>
                <w:sz w:val="28"/>
                <w:szCs w:val="28"/>
              </w:rPr>
              <w:t>最高限价</w:t>
            </w:r>
          </w:p>
        </w:tc>
        <w:tc>
          <w:tcPr>
            <w:tcW w:w="666" w:type="pct"/>
            <w:noWrap w:val="0"/>
            <w:vAlign w:val="bottom"/>
          </w:tcPr>
          <w:p>
            <w:pPr>
              <w:adjustRightInd w:val="0"/>
              <w:snapToGrid w:val="0"/>
              <w:spacing w:line="360" w:lineRule="auto"/>
              <w:jc w:val="center"/>
              <w:rPr>
                <w:rFonts w:eastAsia="仿宋_GB2312"/>
                <w:sz w:val="28"/>
                <w:szCs w:val="28"/>
              </w:rPr>
            </w:pPr>
            <w:r>
              <w:rPr>
                <w:rFonts w:hint="eastAsia" w:eastAsia="仿宋_GB2312"/>
                <w:sz w:val="28"/>
                <w:szCs w:val="28"/>
              </w:rPr>
              <w:t>合同</w:t>
            </w:r>
            <w:r>
              <w:rPr>
                <w:rFonts w:eastAsia="仿宋_GB2312"/>
                <w:sz w:val="28"/>
                <w:szCs w:val="28"/>
              </w:rPr>
              <w:t>报价</w:t>
            </w:r>
          </w:p>
        </w:tc>
        <w:tc>
          <w:tcPr>
            <w:tcW w:w="566" w:type="pct"/>
            <w:noWrap w:val="0"/>
            <w:vAlign w:val="bottom"/>
          </w:tcPr>
          <w:p>
            <w:pPr>
              <w:adjustRightInd w:val="0"/>
              <w:snapToGrid w:val="0"/>
              <w:spacing w:line="360" w:lineRule="auto"/>
              <w:jc w:val="center"/>
              <w:rPr>
                <w:rFonts w:eastAsia="仿宋_GB2312"/>
                <w:sz w:val="28"/>
                <w:szCs w:val="28"/>
              </w:rPr>
            </w:pPr>
            <w:r>
              <w:rPr>
                <w:rFonts w:eastAsia="仿宋_GB2312"/>
                <w:sz w:val="28"/>
                <w:szCs w:val="28"/>
              </w:rPr>
              <w:t>项目预算</w:t>
            </w:r>
          </w:p>
        </w:tc>
        <w:tc>
          <w:tcPr>
            <w:tcW w:w="1553" w:type="pct"/>
            <w:noWrap w:val="0"/>
            <w:vAlign w:val="bottom"/>
          </w:tcPr>
          <w:p>
            <w:pPr>
              <w:adjustRightInd w:val="0"/>
              <w:snapToGrid w:val="0"/>
              <w:spacing w:line="360" w:lineRule="auto"/>
              <w:jc w:val="center"/>
              <w:rPr>
                <w:rFonts w:eastAsia="仿宋_GB2312"/>
                <w:sz w:val="28"/>
                <w:szCs w:val="28"/>
              </w:rPr>
            </w:pPr>
            <w:r>
              <w:rPr>
                <w:rFonts w:eastAsia="仿宋_GB2312"/>
                <w:sz w:val="28"/>
                <w:szCs w:val="28"/>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44" w:type="pct"/>
            <w:noWrap w:val="0"/>
            <w:vAlign w:val="center"/>
          </w:tcPr>
          <w:p>
            <w:pPr>
              <w:adjustRightInd w:val="0"/>
              <w:snapToGrid w:val="0"/>
              <w:jc w:val="center"/>
              <w:rPr>
                <w:rFonts w:eastAsia="仿宋_GB2312"/>
                <w:sz w:val="24"/>
              </w:rPr>
            </w:pPr>
            <w:r>
              <w:rPr>
                <w:rFonts w:eastAsia="仿宋_GB2312"/>
                <w:sz w:val="24"/>
              </w:rPr>
              <w:t>1</w:t>
            </w:r>
          </w:p>
        </w:tc>
        <w:tc>
          <w:tcPr>
            <w:tcW w:w="842" w:type="pct"/>
            <w:noWrap w:val="0"/>
            <w:vAlign w:val="center"/>
          </w:tcPr>
          <w:p>
            <w:pPr>
              <w:adjustRightInd w:val="0"/>
              <w:snapToGrid w:val="0"/>
              <w:jc w:val="center"/>
              <w:rPr>
                <w:rFonts w:eastAsia="仿宋_GB2312"/>
                <w:sz w:val="24"/>
              </w:rPr>
            </w:pPr>
            <w:r>
              <w:rPr>
                <w:rFonts w:hint="eastAsia" w:eastAsia="仿宋_GB2312"/>
                <w:sz w:val="24"/>
              </w:rPr>
              <w:t>全包服务合同价</w:t>
            </w:r>
          </w:p>
        </w:tc>
        <w:tc>
          <w:tcPr>
            <w:tcW w:w="926" w:type="pct"/>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XXX元</w:t>
            </w:r>
          </w:p>
        </w:tc>
        <w:tc>
          <w:tcPr>
            <w:tcW w:w="666" w:type="pct"/>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FF0000"/>
                <w:sz w:val="24"/>
              </w:rPr>
              <w:t>（</w:t>
            </w:r>
            <w:r>
              <w:rPr>
                <w:rFonts w:hint="eastAsia" w:ascii="仿宋_GB2312" w:hAnsi="仿宋_GB2312" w:eastAsia="仿宋_GB2312" w:cs="仿宋_GB2312"/>
                <w:color w:val="FF0000"/>
                <w:sz w:val="24"/>
                <w:lang w:eastAsia="zh-CN"/>
              </w:rPr>
              <w:t>供应商</w:t>
            </w:r>
            <w:r>
              <w:rPr>
                <w:rFonts w:hint="eastAsia" w:ascii="仿宋_GB2312" w:hAnsi="仿宋_GB2312" w:eastAsia="仿宋_GB2312" w:cs="仿宋_GB2312"/>
                <w:color w:val="FF0000"/>
                <w:sz w:val="24"/>
              </w:rPr>
              <w:t>填写）</w:t>
            </w:r>
          </w:p>
        </w:tc>
        <w:tc>
          <w:tcPr>
            <w:tcW w:w="566" w:type="pct"/>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XXX元</w:t>
            </w:r>
          </w:p>
        </w:tc>
        <w:tc>
          <w:tcPr>
            <w:tcW w:w="1553" w:type="pct"/>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月1日至202</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月3</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日</w:t>
            </w:r>
          </w:p>
        </w:tc>
      </w:tr>
    </w:tbl>
    <w:p>
      <w:pPr>
        <w:spacing w:line="400" w:lineRule="exact"/>
        <w:rPr>
          <w:b/>
          <w:sz w:val="22"/>
        </w:rPr>
      </w:pP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4055"/>
        <w:gridCol w:w="2864"/>
        <w:gridCol w:w="2864"/>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38" w:type="pct"/>
            <w:noWrap w:val="0"/>
            <w:vAlign w:val="center"/>
          </w:tcPr>
          <w:p>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序号</w:t>
            </w:r>
          </w:p>
        </w:tc>
        <w:tc>
          <w:tcPr>
            <w:tcW w:w="1430" w:type="pct"/>
            <w:noWrap w:val="0"/>
            <w:vAlign w:val="center"/>
          </w:tcPr>
          <w:p>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项目服务内容</w:t>
            </w:r>
          </w:p>
        </w:tc>
        <w:tc>
          <w:tcPr>
            <w:tcW w:w="1010" w:type="pct"/>
            <w:noWrap w:val="0"/>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数量</w:t>
            </w:r>
          </w:p>
        </w:tc>
        <w:tc>
          <w:tcPr>
            <w:tcW w:w="1010" w:type="pct"/>
            <w:noWrap w:val="0"/>
            <w:vAlign w:val="center"/>
          </w:tcPr>
          <w:p>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单价</w:t>
            </w:r>
          </w:p>
        </w:tc>
        <w:tc>
          <w:tcPr>
            <w:tcW w:w="1010" w:type="pct"/>
            <w:noWrap w:val="0"/>
            <w:vAlign w:val="center"/>
          </w:tcPr>
          <w:p>
            <w:pPr>
              <w:spacing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8" w:type="pct"/>
            <w:noWrap w:val="0"/>
            <w:vAlign w:val="center"/>
          </w:tcPr>
          <w:p>
            <w:pPr>
              <w:spacing w:line="4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1</w:t>
            </w:r>
          </w:p>
        </w:tc>
        <w:tc>
          <w:tcPr>
            <w:tcW w:w="1430" w:type="pct"/>
            <w:noWrap w:val="0"/>
            <w:vAlign w:val="center"/>
          </w:tcPr>
          <w:p>
            <w:pPr>
              <w:spacing w:line="400" w:lineRule="exact"/>
              <w:jc w:val="center"/>
              <w:rPr>
                <w:rFonts w:ascii="仿宋_GB2312" w:hAnsi="仿宋_GB2312" w:eastAsia="仿宋_GB2312" w:cs="仿宋_GB2312"/>
                <w:bCs/>
                <w:sz w:val="24"/>
              </w:rPr>
            </w:pPr>
            <w:r>
              <w:rPr>
                <w:rFonts w:hint="eastAsia" w:ascii="仿宋_GB2312" w:hAnsi="仿宋_GB2312" w:eastAsia="仿宋_GB2312" w:cs="仿宋_GB2312"/>
                <w:color w:val="FF0000"/>
                <w:sz w:val="24"/>
              </w:rPr>
              <w:t>（</w:t>
            </w:r>
            <w:r>
              <w:rPr>
                <w:rFonts w:hint="eastAsia" w:ascii="仿宋_GB2312" w:hAnsi="仿宋_GB2312" w:eastAsia="仿宋_GB2312" w:cs="仿宋_GB2312"/>
                <w:color w:val="FF0000"/>
                <w:sz w:val="24"/>
                <w:lang w:eastAsia="zh-CN"/>
              </w:rPr>
              <w:t>供应商</w:t>
            </w:r>
            <w:r>
              <w:rPr>
                <w:rFonts w:hint="eastAsia" w:ascii="仿宋_GB2312" w:hAnsi="仿宋_GB2312" w:eastAsia="仿宋_GB2312" w:cs="仿宋_GB2312"/>
                <w:color w:val="FF0000"/>
                <w:sz w:val="24"/>
              </w:rPr>
              <w:t>填写）</w:t>
            </w:r>
          </w:p>
        </w:tc>
        <w:tc>
          <w:tcPr>
            <w:tcW w:w="1010" w:type="pct"/>
            <w:noWrap w:val="0"/>
            <w:vAlign w:val="center"/>
          </w:tcPr>
          <w:p>
            <w:pPr>
              <w:spacing w:line="400" w:lineRule="exact"/>
              <w:jc w:val="center"/>
              <w:rPr>
                <w:rFonts w:ascii="仿宋_GB2312" w:hAnsi="仿宋_GB2312" w:eastAsia="仿宋_GB2312" w:cs="仿宋_GB2312"/>
                <w:bCs/>
                <w:sz w:val="24"/>
              </w:rPr>
            </w:pPr>
            <w:r>
              <w:rPr>
                <w:rFonts w:hint="eastAsia" w:ascii="仿宋_GB2312" w:hAnsi="仿宋_GB2312" w:eastAsia="仿宋_GB2312" w:cs="仿宋_GB2312"/>
                <w:color w:val="FF0000"/>
                <w:sz w:val="24"/>
              </w:rPr>
              <w:t>（</w:t>
            </w:r>
            <w:r>
              <w:rPr>
                <w:rFonts w:hint="eastAsia" w:ascii="仿宋_GB2312" w:hAnsi="仿宋_GB2312" w:eastAsia="仿宋_GB2312" w:cs="仿宋_GB2312"/>
                <w:color w:val="FF0000"/>
                <w:sz w:val="24"/>
                <w:lang w:eastAsia="zh-CN"/>
              </w:rPr>
              <w:t>供应商</w:t>
            </w:r>
            <w:r>
              <w:rPr>
                <w:rFonts w:hint="eastAsia" w:ascii="仿宋_GB2312" w:hAnsi="仿宋_GB2312" w:eastAsia="仿宋_GB2312" w:cs="仿宋_GB2312"/>
                <w:color w:val="FF0000"/>
                <w:sz w:val="24"/>
              </w:rPr>
              <w:t>填写）</w:t>
            </w:r>
          </w:p>
        </w:tc>
        <w:tc>
          <w:tcPr>
            <w:tcW w:w="1010" w:type="pct"/>
            <w:noWrap w:val="0"/>
            <w:vAlign w:val="center"/>
          </w:tcPr>
          <w:p>
            <w:pPr>
              <w:spacing w:line="400" w:lineRule="exact"/>
              <w:jc w:val="center"/>
              <w:rPr>
                <w:rFonts w:ascii="仿宋_GB2312" w:hAnsi="仿宋_GB2312" w:eastAsia="仿宋_GB2312" w:cs="仿宋_GB2312"/>
                <w:bCs/>
                <w:sz w:val="24"/>
              </w:rPr>
            </w:pPr>
            <w:r>
              <w:rPr>
                <w:rFonts w:hint="eastAsia" w:ascii="仿宋_GB2312" w:hAnsi="仿宋_GB2312" w:eastAsia="仿宋_GB2312" w:cs="仿宋_GB2312"/>
                <w:color w:val="FF0000"/>
                <w:sz w:val="24"/>
              </w:rPr>
              <w:t>（</w:t>
            </w:r>
            <w:r>
              <w:rPr>
                <w:rFonts w:hint="eastAsia" w:ascii="仿宋_GB2312" w:hAnsi="仿宋_GB2312" w:eastAsia="仿宋_GB2312" w:cs="仿宋_GB2312"/>
                <w:color w:val="FF0000"/>
                <w:sz w:val="24"/>
                <w:lang w:eastAsia="zh-CN"/>
              </w:rPr>
              <w:t>供应商</w:t>
            </w:r>
            <w:r>
              <w:rPr>
                <w:rFonts w:hint="eastAsia" w:ascii="仿宋_GB2312" w:hAnsi="仿宋_GB2312" w:eastAsia="仿宋_GB2312" w:cs="仿宋_GB2312"/>
                <w:color w:val="FF0000"/>
                <w:sz w:val="24"/>
              </w:rPr>
              <w:t>填写）</w:t>
            </w:r>
          </w:p>
        </w:tc>
        <w:tc>
          <w:tcPr>
            <w:tcW w:w="1010" w:type="pct"/>
            <w:noWrap w:val="0"/>
            <w:vAlign w:val="center"/>
          </w:tcPr>
          <w:p>
            <w:pPr>
              <w:spacing w:line="400" w:lineRule="exact"/>
              <w:jc w:val="center"/>
              <w:rPr>
                <w:rFonts w:hint="eastAsia" w:ascii="仿宋_GB2312" w:hAnsi="仿宋_GB2312" w:eastAsia="仿宋_GB2312" w:cs="仿宋_GB2312"/>
                <w:bCs/>
                <w:sz w:val="24"/>
              </w:rPr>
            </w:pPr>
            <w:r>
              <w:rPr>
                <w:rFonts w:hint="eastAsia" w:ascii="仿宋_GB2312" w:hAnsi="仿宋_GB2312" w:eastAsia="仿宋_GB2312" w:cs="仿宋_GB2312"/>
                <w:color w:val="FF0000"/>
                <w:sz w:val="24"/>
              </w:rPr>
              <w:t>（</w:t>
            </w:r>
            <w:r>
              <w:rPr>
                <w:rFonts w:hint="eastAsia" w:ascii="仿宋_GB2312" w:hAnsi="仿宋_GB2312" w:eastAsia="仿宋_GB2312" w:cs="仿宋_GB2312"/>
                <w:color w:val="FF0000"/>
                <w:sz w:val="24"/>
                <w:lang w:eastAsia="zh-CN"/>
              </w:rPr>
              <w:t>供应商</w:t>
            </w:r>
            <w:r>
              <w:rPr>
                <w:rFonts w:hint="eastAsia" w:ascii="仿宋_GB2312" w:hAnsi="仿宋_GB2312" w:eastAsia="仿宋_GB2312" w:cs="仿宋_GB2312"/>
                <w:color w:val="FF0000"/>
                <w:sz w:val="24"/>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8" w:type="pct"/>
            <w:noWrap w:val="0"/>
            <w:vAlign w:val="center"/>
          </w:tcPr>
          <w:p>
            <w:pPr>
              <w:spacing w:line="4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2</w:t>
            </w:r>
          </w:p>
        </w:tc>
        <w:tc>
          <w:tcPr>
            <w:tcW w:w="1430" w:type="pct"/>
            <w:noWrap w:val="0"/>
            <w:vAlign w:val="center"/>
          </w:tcPr>
          <w:p>
            <w:pPr>
              <w:spacing w:line="400" w:lineRule="exact"/>
              <w:jc w:val="center"/>
              <w:rPr>
                <w:rFonts w:ascii="仿宋_GB2312" w:hAnsi="仿宋_GB2312" w:eastAsia="仿宋_GB2312" w:cs="仿宋_GB2312"/>
                <w:color w:val="FF0000"/>
                <w:sz w:val="24"/>
              </w:rPr>
            </w:pPr>
          </w:p>
        </w:tc>
        <w:tc>
          <w:tcPr>
            <w:tcW w:w="1010" w:type="pct"/>
            <w:noWrap w:val="0"/>
            <w:vAlign w:val="center"/>
          </w:tcPr>
          <w:p>
            <w:pPr>
              <w:spacing w:line="400" w:lineRule="exact"/>
              <w:jc w:val="center"/>
              <w:rPr>
                <w:rFonts w:hint="eastAsia" w:ascii="仿宋_GB2312" w:hAnsi="仿宋_GB2312" w:eastAsia="仿宋_GB2312" w:cs="仿宋_GB2312"/>
                <w:color w:val="FF0000"/>
                <w:sz w:val="24"/>
              </w:rPr>
            </w:pPr>
          </w:p>
        </w:tc>
        <w:tc>
          <w:tcPr>
            <w:tcW w:w="1010" w:type="pct"/>
            <w:noWrap w:val="0"/>
            <w:vAlign w:val="center"/>
          </w:tcPr>
          <w:p>
            <w:pPr>
              <w:spacing w:line="400" w:lineRule="exact"/>
              <w:jc w:val="center"/>
              <w:rPr>
                <w:rFonts w:hint="eastAsia" w:ascii="仿宋_GB2312" w:hAnsi="仿宋_GB2312" w:eastAsia="仿宋_GB2312" w:cs="仿宋_GB2312"/>
                <w:color w:val="FF0000"/>
                <w:sz w:val="24"/>
              </w:rPr>
            </w:pPr>
          </w:p>
        </w:tc>
        <w:tc>
          <w:tcPr>
            <w:tcW w:w="1010" w:type="pct"/>
            <w:noWrap w:val="0"/>
            <w:vAlign w:val="center"/>
          </w:tcPr>
          <w:p>
            <w:pPr>
              <w:spacing w:line="400" w:lineRule="exact"/>
              <w:jc w:val="center"/>
              <w:rPr>
                <w:rFonts w:hint="eastAsia" w:ascii="仿宋_GB2312" w:hAnsi="仿宋_GB2312" w:eastAsia="仿宋_GB2312" w:cs="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8" w:type="pct"/>
            <w:noWrap w:val="0"/>
            <w:vAlign w:val="center"/>
          </w:tcPr>
          <w:p>
            <w:pPr>
              <w:spacing w:line="4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3</w:t>
            </w:r>
          </w:p>
        </w:tc>
        <w:tc>
          <w:tcPr>
            <w:tcW w:w="1430" w:type="pct"/>
            <w:noWrap w:val="0"/>
            <w:vAlign w:val="center"/>
          </w:tcPr>
          <w:p>
            <w:pPr>
              <w:spacing w:line="400" w:lineRule="exact"/>
              <w:jc w:val="center"/>
              <w:rPr>
                <w:rFonts w:hint="eastAsia" w:ascii="仿宋_GB2312" w:hAnsi="仿宋_GB2312" w:eastAsia="仿宋_GB2312" w:cs="仿宋_GB2312"/>
                <w:color w:val="FF0000"/>
                <w:sz w:val="24"/>
              </w:rPr>
            </w:pPr>
          </w:p>
        </w:tc>
        <w:tc>
          <w:tcPr>
            <w:tcW w:w="1010" w:type="pct"/>
            <w:noWrap w:val="0"/>
            <w:vAlign w:val="center"/>
          </w:tcPr>
          <w:p>
            <w:pPr>
              <w:spacing w:line="400" w:lineRule="exact"/>
              <w:jc w:val="center"/>
              <w:rPr>
                <w:rFonts w:hint="eastAsia" w:ascii="仿宋_GB2312" w:hAnsi="仿宋_GB2312" w:eastAsia="仿宋_GB2312" w:cs="仿宋_GB2312"/>
                <w:color w:val="FF0000"/>
                <w:sz w:val="24"/>
              </w:rPr>
            </w:pPr>
          </w:p>
        </w:tc>
        <w:tc>
          <w:tcPr>
            <w:tcW w:w="1010" w:type="pct"/>
            <w:noWrap w:val="0"/>
            <w:vAlign w:val="center"/>
          </w:tcPr>
          <w:p>
            <w:pPr>
              <w:spacing w:line="400" w:lineRule="exact"/>
              <w:jc w:val="center"/>
              <w:rPr>
                <w:rFonts w:hint="eastAsia" w:ascii="仿宋_GB2312" w:hAnsi="仿宋_GB2312" w:eastAsia="仿宋_GB2312" w:cs="仿宋_GB2312"/>
                <w:color w:val="FF0000"/>
                <w:sz w:val="24"/>
              </w:rPr>
            </w:pPr>
          </w:p>
        </w:tc>
        <w:tc>
          <w:tcPr>
            <w:tcW w:w="1010" w:type="pct"/>
            <w:noWrap w:val="0"/>
            <w:vAlign w:val="center"/>
          </w:tcPr>
          <w:p>
            <w:pPr>
              <w:spacing w:line="400" w:lineRule="exact"/>
              <w:jc w:val="center"/>
              <w:rPr>
                <w:rFonts w:hint="eastAsia" w:ascii="仿宋_GB2312" w:hAnsi="仿宋_GB2312" w:eastAsia="仿宋_GB2312" w:cs="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8" w:type="pct"/>
            <w:noWrap w:val="0"/>
            <w:vAlign w:val="center"/>
          </w:tcPr>
          <w:p>
            <w:pPr>
              <w:spacing w:line="4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4</w:t>
            </w:r>
          </w:p>
        </w:tc>
        <w:tc>
          <w:tcPr>
            <w:tcW w:w="1430" w:type="pct"/>
            <w:noWrap w:val="0"/>
            <w:vAlign w:val="center"/>
          </w:tcPr>
          <w:p>
            <w:pPr>
              <w:spacing w:line="400" w:lineRule="exact"/>
              <w:jc w:val="center"/>
              <w:rPr>
                <w:rFonts w:hint="eastAsia" w:ascii="仿宋_GB2312" w:hAnsi="仿宋_GB2312" w:eastAsia="仿宋_GB2312" w:cs="仿宋_GB2312"/>
                <w:color w:val="FF0000"/>
                <w:sz w:val="24"/>
              </w:rPr>
            </w:pPr>
          </w:p>
        </w:tc>
        <w:tc>
          <w:tcPr>
            <w:tcW w:w="1010" w:type="pct"/>
            <w:noWrap w:val="0"/>
            <w:vAlign w:val="center"/>
          </w:tcPr>
          <w:p>
            <w:pPr>
              <w:spacing w:line="400" w:lineRule="exact"/>
              <w:jc w:val="center"/>
              <w:rPr>
                <w:rFonts w:hint="eastAsia" w:ascii="仿宋_GB2312" w:hAnsi="仿宋_GB2312" w:eastAsia="仿宋_GB2312" w:cs="仿宋_GB2312"/>
                <w:color w:val="FF0000"/>
                <w:sz w:val="24"/>
              </w:rPr>
            </w:pPr>
          </w:p>
        </w:tc>
        <w:tc>
          <w:tcPr>
            <w:tcW w:w="1010" w:type="pct"/>
            <w:noWrap w:val="0"/>
            <w:vAlign w:val="center"/>
          </w:tcPr>
          <w:p>
            <w:pPr>
              <w:spacing w:line="400" w:lineRule="exact"/>
              <w:jc w:val="center"/>
              <w:rPr>
                <w:rFonts w:hint="eastAsia" w:ascii="仿宋_GB2312" w:hAnsi="仿宋_GB2312" w:eastAsia="仿宋_GB2312" w:cs="仿宋_GB2312"/>
                <w:color w:val="FF0000"/>
                <w:sz w:val="24"/>
              </w:rPr>
            </w:pPr>
          </w:p>
        </w:tc>
        <w:tc>
          <w:tcPr>
            <w:tcW w:w="1010" w:type="pct"/>
            <w:noWrap w:val="0"/>
            <w:vAlign w:val="center"/>
          </w:tcPr>
          <w:p>
            <w:pPr>
              <w:spacing w:line="400" w:lineRule="exact"/>
              <w:jc w:val="center"/>
              <w:rPr>
                <w:rFonts w:hint="eastAsia" w:ascii="仿宋_GB2312" w:hAnsi="仿宋_GB2312" w:eastAsia="仿宋_GB2312" w:cs="仿宋_GB2312"/>
                <w:color w:val="FF0000"/>
                <w:sz w:val="24"/>
              </w:rPr>
            </w:pPr>
          </w:p>
        </w:tc>
      </w:tr>
    </w:tbl>
    <w:p>
      <w:pPr>
        <w:spacing w:line="400" w:lineRule="exact"/>
        <w:rPr>
          <w:b/>
          <w:sz w:val="22"/>
        </w:rPr>
      </w:pPr>
      <w:r>
        <w:rPr>
          <w:b/>
          <w:sz w:val="22"/>
        </w:rPr>
        <w:t>说明：1、本报价表是项目需求书确定服务范围内的全部服务内容的价格体现，报价应包含项目投入的软件（包括数字化软件、项目管理软件等运行需要的软件）、硬件费用（包括计算机、高速扫描仪、平板扫描仪、大幅面扫描仪、打印机、存储设备及其他硬件设备等运行需要的设备）、安装调试费、技术服务费、项目组人员的费用（包括工资、福利、交通、住宿、通讯费用等）、各项税费及合同实施过程中不可预见费用等。</w:t>
      </w:r>
    </w:p>
    <w:p>
      <w:pPr>
        <w:spacing w:line="400" w:lineRule="exact"/>
        <w:ind w:firstLine="441" w:firstLineChars="200"/>
        <w:rPr>
          <w:b/>
          <w:sz w:val="22"/>
        </w:rPr>
      </w:pPr>
      <w:r>
        <w:rPr>
          <w:rFonts w:eastAsia="新宋体"/>
          <w:b/>
          <w:sz w:val="22"/>
          <w:szCs w:val="22"/>
        </w:rPr>
        <w:t>2、如响应供应商报价超过最高单价限价的，其响应文件作无效标处理。</w:t>
      </w:r>
    </w:p>
    <w:p>
      <w:pPr>
        <w:spacing w:line="400" w:lineRule="exact"/>
        <w:ind w:firstLine="441" w:firstLineChars="200"/>
        <w:rPr>
          <w:b/>
          <w:sz w:val="22"/>
        </w:rPr>
      </w:pPr>
      <w:r>
        <w:rPr>
          <w:b/>
          <w:sz w:val="22"/>
        </w:rPr>
        <w:t>3、不提供此表格将被视为没有实质性响应</w:t>
      </w:r>
      <w:r>
        <w:rPr>
          <w:rFonts w:eastAsia="新宋体"/>
          <w:b/>
          <w:sz w:val="22"/>
        </w:rPr>
        <w:t>,其响应文件将被拒绝</w:t>
      </w:r>
      <w:r>
        <w:rPr>
          <w:b/>
          <w:sz w:val="22"/>
        </w:rPr>
        <w:t>。</w:t>
      </w:r>
    </w:p>
    <w:p>
      <w:pPr>
        <w:spacing w:line="400" w:lineRule="exact"/>
        <w:ind w:firstLine="441" w:firstLineChars="200"/>
        <w:rPr>
          <w:rFonts w:eastAsia="新宋体"/>
          <w:b/>
          <w:sz w:val="22"/>
          <w:szCs w:val="22"/>
        </w:rPr>
      </w:pPr>
      <w:r>
        <w:rPr>
          <w:rFonts w:eastAsia="新宋体"/>
          <w:b/>
          <w:sz w:val="22"/>
          <w:szCs w:val="22"/>
        </w:rPr>
        <w:t>4、以上数量为预估数，仅作计算报价之用，最终数量以实际完成量为准。</w:t>
      </w:r>
    </w:p>
    <w:p>
      <w:pPr>
        <w:spacing w:line="400" w:lineRule="exact"/>
        <w:ind w:firstLine="441" w:firstLineChars="200"/>
        <w:rPr>
          <w:rFonts w:eastAsia="新宋体"/>
          <w:b/>
          <w:sz w:val="22"/>
          <w:szCs w:val="22"/>
        </w:rPr>
      </w:pPr>
    </w:p>
    <w:p>
      <w:pPr>
        <w:spacing w:line="360" w:lineRule="auto"/>
        <w:jc w:val="center"/>
        <w:rPr>
          <w:sz w:val="22"/>
          <w:szCs w:val="22"/>
        </w:rPr>
      </w:pPr>
      <w:r>
        <w:rPr>
          <w:sz w:val="22"/>
          <w:szCs w:val="22"/>
        </w:rPr>
        <w:t xml:space="preserve">                                                   供应商全称（盖章）：</w:t>
      </w:r>
    </w:p>
    <w:p>
      <w:pPr>
        <w:spacing w:line="360" w:lineRule="auto"/>
        <w:jc w:val="center"/>
        <w:rPr>
          <w:sz w:val="22"/>
          <w:szCs w:val="22"/>
        </w:rPr>
      </w:pPr>
      <w:r>
        <w:rPr>
          <w:sz w:val="22"/>
          <w:szCs w:val="22"/>
        </w:rPr>
        <w:t xml:space="preserve">                                                   供应商代表（签字）：</w:t>
      </w:r>
    </w:p>
    <w:p>
      <w:pPr>
        <w:spacing w:line="360" w:lineRule="auto"/>
        <w:ind w:firstLine="220" w:firstLineChars="100"/>
        <w:rPr>
          <w:b/>
          <w:sz w:val="22"/>
          <w:szCs w:val="22"/>
        </w:rPr>
      </w:pPr>
      <w:r>
        <w:rPr>
          <w:sz w:val="22"/>
          <w:szCs w:val="22"/>
        </w:rPr>
        <w:t xml:space="preserve">                                                                                 日    期：</w:t>
      </w:r>
      <w:bookmarkStart w:id="4" w:name="_Toc19402"/>
    </w:p>
    <w:bookmarkEnd w:id="4"/>
    <w:p>
      <w:pPr>
        <w:spacing w:line="560" w:lineRule="exact"/>
        <w:ind w:firstLine="560" w:firstLineChars="200"/>
        <w:rPr>
          <w:rFonts w:eastAsia="仿宋_GB2312"/>
          <w:sz w:val="28"/>
          <w:szCs w:val="28"/>
        </w:rPr>
        <w:sectPr>
          <w:pgSz w:w="16838" w:h="11906" w:orient="landscape"/>
          <w:pgMar w:top="1800" w:right="1440" w:bottom="1800" w:left="1440" w:header="851" w:footer="992" w:gutter="0"/>
          <w:cols w:space="425" w:num="1"/>
          <w:docGrid w:type="lines" w:linePitch="312" w:charSpace="0"/>
        </w:sectPr>
      </w:pP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附件2</w:t>
      </w:r>
    </w:p>
    <w:p>
      <w:pPr>
        <w:spacing w:line="460" w:lineRule="exact"/>
        <w:jc w:val="center"/>
        <w:rPr>
          <w:b/>
          <w:sz w:val="28"/>
          <w:szCs w:val="28"/>
        </w:rPr>
      </w:pPr>
    </w:p>
    <w:p>
      <w:pPr>
        <w:spacing w:line="460" w:lineRule="exact"/>
        <w:jc w:val="center"/>
        <w:rPr>
          <w:sz w:val="28"/>
          <w:szCs w:val="28"/>
        </w:rPr>
      </w:pPr>
      <w:r>
        <w:rPr>
          <w:b/>
          <w:sz w:val="28"/>
          <w:szCs w:val="28"/>
        </w:rPr>
        <w:t>资格条件承诺函</w:t>
      </w:r>
      <w:r>
        <w:rPr>
          <w:sz w:val="28"/>
          <w:szCs w:val="28"/>
        </w:rPr>
        <w:t xml:space="preserve"> </w:t>
      </w:r>
    </w:p>
    <w:p>
      <w:pPr>
        <w:shd w:val="clear" w:color="auto" w:fill="FFFFFF"/>
        <w:snapToGrid w:val="0"/>
        <w:spacing w:line="440" w:lineRule="exact"/>
        <w:rPr>
          <w:sz w:val="22"/>
          <w:szCs w:val="22"/>
        </w:rPr>
      </w:pPr>
      <w:bookmarkStart w:id="5" w:name="_Toc16516"/>
    </w:p>
    <w:p>
      <w:pPr>
        <w:widowControl/>
        <w:snapToGrid w:val="0"/>
        <w:spacing w:line="440" w:lineRule="exact"/>
        <w:jc w:val="left"/>
        <w:rPr>
          <w:sz w:val="22"/>
          <w:szCs w:val="22"/>
        </w:rPr>
      </w:pPr>
      <w:r>
        <w:rPr>
          <w:kern w:val="0"/>
          <w:sz w:val="22"/>
          <w:szCs w:val="22"/>
        </w:rPr>
        <w:t>东莞市</w:t>
      </w:r>
      <w:r>
        <w:rPr>
          <w:rFonts w:hint="eastAsia"/>
          <w:kern w:val="0"/>
          <w:sz w:val="22"/>
          <w:szCs w:val="22"/>
          <w:lang w:val="en-US" w:eastAsia="zh-CN"/>
        </w:rPr>
        <w:t>住房和城乡建设局</w:t>
      </w:r>
      <w:r>
        <w:rPr>
          <w:sz w:val="22"/>
          <w:szCs w:val="22"/>
        </w:rPr>
        <w:t>：</w:t>
      </w:r>
    </w:p>
    <w:p>
      <w:pPr>
        <w:widowControl/>
        <w:spacing w:line="440" w:lineRule="exact"/>
        <w:ind w:firstLine="440" w:firstLineChars="200"/>
        <w:rPr>
          <w:sz w:val="22"/>
          <w:szCs w:val="22"/>
        </w:rPr>
      </w:pPr>
      <w:r>
        <w:rPr>
          <w:sz w:val="22"/>
          <w:szCs w:val="22"/>
        </w:rPr>
        <w:t>我方参与</w:t>
      </w:r>
      <w:r>
        <w:rPr>
          <w:sz w:val="22"/>
          <w:szCs w:val="22"/>
          <w:u w:val="single"/>
        </w:rPr>
        <w:t xml:space="preserve">  </w:t>
      </w:r>
      <w:r>
        <w:rPr>
          <w:rFonts w:hint="eastAsia"/>
          <w:sz w:val="22"/>
          <w:szCs w:val="22"/>
          <w:u w:val="single"/>
        </w:rPr>
        <w:t xml:space="preserve">                                         </w:t>
      </w:r>
      <w:r>
        <w:rPr>
          <w:sz w:val="22"/>
          <w:szCs w:val="22"/>
          <w:u w:val="single"/>
        </w:rPr>
        <w:t xml:space="preserve">  </w:t>
      </w:r>
      <w:r>
        <w:rPr>
          <w:rFonts w:hint="eastAsia"/>
          <w:sz w:val="22"/>
          <w:szCs w:val="22"/>
          <w:lang w:val="en-US" w:eastAsia="zh-CN"/>
        </w:rPr>
        <w:t>报价</w:t>
      </w:r>
      <w:r>
        <w:rPr>
          <w:sz w:val="22"/>
          <w:szCs w:val="22"/>
        </w:rPr>
        <w:t>，现郑重承诺，</w:t>
      </w:r>
      <w:r>
        <w:rPr>
          <w:kern w:val="0"/>
          <w:sz w:val="22"/>
          <w:szCs w:val="22"/>
        </w:rPr>
        <w:t>参加本次采购活动前三年内</w:t>
      </w:r>
      <w:r>
        <w:rPr>
          <w:sz w:val="22"/>
          <w:szCs w:val="22"/>
        </w:rPr>
        <w:t>：</w:t>
      </w:r>
    </w:p>
    <w:p>
      <w:pPr>
        <w:widowControl/>
        <w:spacing w:line="440" w:lineRule="exact"/>
        <w:ind w:firstLine="440" w:firstLineChars="200"/>
        <w:rPr>
          <w:sz w:val="22"/>
          <w:szCs w:val="22"/>
        </w:rPr>
      </w:pPr>
      <w:r>
        <w:rPr>
          <w:sz w:val="22"/>
          <w:szCs w:val="22"/>
        </w:rPr>
        <w:t>1、我方符合《中华人民共和国政府采购法》第22条规定的资格条件，即：</w:t>
      </w:r>
    </w:p>
    <w:p>
      <w:pPr>
        <w:widowControl/>
        <w:snapToGrid w:val="0"/>
        <w:spacing w:line="440" w:lineRule="exact"/>
        <w:ind w:firstLine="440" w:firstLineChars="200"/>
        <w:jc w:val="left"/>
        <w:rPr>
          <w:kern w:val="0"/>
          <w:sz w:val="22"/>
          <w:szCs w:val="22"/>
        </w:rPr>
      </w:pPr>
      <w:r>
        <w:rPr>
          <w:kern w:val="0"/>
          <w:sz w:val="22"/>
          <w:szCs w:val="22"/>
        </w:rPr>
        <w:t>（1）我方具有独立承担民事责任的能力；</w:t>
      </w:r>
    </w:p>
    <w:p>
      <w:pPr>
        <w:widowControl/>
        <w:snapToGrid w:val="0"/>
        <w:spacing w:line="440" w:lineRule="exact"/>
        <w:ind w:firstLine="440" w:firstLineChars="200"/>
        <w:jc w:val="left"/>
        <w:rPr>
          <w:kern w:val="0"/>
          <w:sz w:val="22"/>
          <w:szCs w:val="22"/>
        </w:rPr>
      </w:pPr>
      <w:r>
        <w:rPr>
          <w:kern w:val="0"/>
          <w:sz w:val="22"/>
          <w:szCs w:val="22"/>
        </w:rPr>
        <w:t>（2）我方具有良好的商业信誉和健全的财务会计制度；</w:t>
      </w:r>
    </w:p>
    <w:p>
      <w:pPr>
        <w:widowControl/>
        <w:snapToGrid w:val="0"/>
        <w:spacing w:line="440" w:lineRule="exact"/>
        <w:ind w:firstLine="440" w:firstLineChars="200"/>
        <w:jc w:val="left"/>
        <w:rPr>
          <w:kern w:val="0"/>
          <w:sz w:val="22"/>
          <w:szCs w:val="22"/>
        </w:rPr>
      </w:pPr>
      <w:r>
        <w:rPr>
          <w:kern w:val="0"/>
          <w:sz w:val="22"/>
          <w:szCs w:val="22"/>
        </w:rPr>
        <w:t>（3）我方具有履行合同所必需的设备和专业技术能力；</w:t>
      </w:r>
    </w:p>
    <w:p>
      <w:pPr>
        <w:widowControl/>
        <w:snapToGrid w:val="0"/>
        <w:spacing w:line="440" w:lineRule="exact"/>
        <w:ind w:firstLine="440" w:firstLineChars="200"/>
        <w:jc w:val="left"/>
        <w:rPr>
          <w:kern w:val="0"/>
          <w:sz w:val="22"/>
          <w:szCs w:val="22"/>
        </w:rPr>
      </w:pPr>
      <w:r>
        <w:rPr>
          <w:kern w:val="0"/>
          <w:sz w:val="22"/>
          <w:szCs w:val="22"/>
        </w:rPr>
        <w:t>（4）我方有依法缴纳税收和社会保障资金的良好记录；</w:t>
      </w:r>
    </w:p>
    <w:p>
      <w:pPr>
        <w:widowControl/>
        <w:snapToGrid w:val="0"/>
        <w:spacing w:line="440" w:lineRule="exact"/>
        <w:ind w:firstLine="440" w:firstLineChars="200"/>
        <w:jc w:val="left"/>
        <w:rPr>
          <w:kern w:val="0"/>
          <w:sz w:val="22"/>
          <w:szCs w:val="22"/>
        </w:rPr>
      </w:pPr>
      <w:r>
        <w:rPr>
          <w:kern w:val="0"/>
          <w:sz w:val="22"/>
          <w:szCs w:val="22"/>
        </w:rPr>
        <w:t>（5）我方参加本次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pPr>
        <w:widowControl/>
        <w:spacing w:line="440" w:lineRule="exact"/>
        <w:ind w:firstLine="440" w:firstLineChars="200"/>
        <w:rPr>
          <w:kern w:val="0"/>
          <w:sz w:val="22"/>
          <w:szCs w:val="22"/>
        </w:rPr>
      </w:pPr>
      <w:r>
        <w:rPr>
          <w:kern w:val="0"/>
          <w:sz w:val="22"/>
          <w:szCs w:val="22"/>
        </w:rPr>
        <w:t>2、到本项目</w:t>
      </w:r>
      <w:r>
        <w:rPr>
          <w:rFonts w:hint="eastAsia"/>
          <w:kern w:val="0"/>
          <w:sz w:val="22"/>
          <w:szCs w:val="22"/>
          <w:lang w:val="en-US" w:eastAsia="zh-CN"/>
        </w:rPr>
        <w:t>报价</w:t>
      </w:r>
      <w:r>
        <w:rPr>
          <w:kern w:val="0"/>
          <w:sz w:val="22"/>
          <w:szCs w:val="22"/>
        </w:rPr>
        <w:t>截止时间为止，我方未被“信用中国（</w:t>
      </w:r>
      <w:r>
        <w:fldChar w:fldCharType="begin"/>
      </w:r>
      <w:r>
        <w:instrText xml:space="preserve"> HYPERLINK "http://www.creditchina.gov.cn）、" </w:instrText>
      </w:r>
      <w:r>
        <w:fldChar w:fldCharType="separate"/>
      </w:r>
      <w:r>
        <w:rPr>
          <w:kern w:val="0"/>
          <w:sz w:val="22"/>
          <w:szCs w:val="22"/>
        </w:rPr>
        <w:t>www.creditchina.gov.cn）、</w:t>
      </w:r>
      <w:r>
        <w:rPr>
          <w:kern w:val="0"/>
          <w:sz w:val="22"/>
          <w:szCs w:val="22"/>
        </w:rPr>
        <w:fldChar w:fldCharType="end"/>
      </w:r>
      <w:r>
        <w:rPr>
          <w:kern w:val="0"/>
          <w:sz w:val="22"/>
          <w:szCs w:val="22"/>
        </w:rPr>
        <w:t xml:space="preserve"> 中国政府采购网（www.ccgp.gov.cn）列入失信被执行人名单、重大税收违法案件当事人名单、政府采购严重违法失信行为记录名单。</w:t>
      </w:r>
    </w:p>
    <w:p>
      <w:pPr>
        <w:widowControl/>
        <w:spacing w:line="440" w:lineRule="exact"/>
        <w:ind w:firstLine="440" w:firstLineChars="200"/>
        <w:rPr>
          <w:kern w:val="0"/>
          <w:sz w:val="22"/>
          <w:szCs w:val="22"/>
        </w:rPr>
      </w:pPr>
      <w:r>
        <w:rPr>
          <w:kern w:val="0"/>
          <w:sz w:val="22"/>
          <w:szCs w:val="22"/>
        </w:rPr>
        <w:t>3、我方与参加本次项目同一合同项下政府采购活动的其他供应商不存在单位负责人为同一人或者直接控股、管理关系。</w:t>
      </w:r>
    </w:p>
    <w:p>
      <w:pPr>
        <w:widowControl/>
        <w:spacing w:line="440" w:lineRule="exact"/>
        <w:ind w:firstLine="440" w:firstLineChars="200"/>
        <w:rPr>
          <w:color w:val="auto"/>
          <w:kern w:val="0"/>
          <w:sz w:val="22"/>
          <w:szCs w:val="22"/>
        </w:rPr>
      </w:pPr>
      <w:r>
        <w:rPr>
          <w:color w:val="auto"/>
          <w:kern w:val="0"/>
          <w:sz w:val="22"/>
          <w:szCs w:val="22"/>
        </w:rPr>
        <w:t>4、我方不属于公益一类事业单位。</w:t>
      </w:r>
    </w:p>
    <w:p>
      <w:pPr>
        <w:widowControl/>
        <w:snapToGrid w:val="0"/>
        <w:spacing w:line="440" w:lineRule="exact"/>
        <w:ind w:firstLine="440" w:firstLineChars="200"/>
        <w:jc w:val="left"/>
        <w:rPr>
          <w:kern w:val="0"/>
          <w:sz w:val="22"/>
          <w:szCs w:val="22"/>
        </w:rPr>
      </w:pPr>
    </w:p>
    <w:p>
      <w:pPr>
        <w:widowControl/>
        <w:snapToGrid w:val="0"/>
        <w:spacing w:line="440" w:lineRule="exact"/>
        <w:ind w:firstLine="440" w:firstLineChars="200"/>
        <w:jc w:val="left"/>
        <w:rPr>
          <w:kern w:val="0"/>
          <w:sz w:val="22"/>
          <w:szCs w:val="22"/>
        </w:rPr>
      </w:pPr>
      <w:r>
        <w:rPr>
          <w:kern w:val="0"/>
          <w:sz w:val="22"/>
          <w:szCs w:val="22"/>
        </w:rPr>
        <w:t>以上承诺如有虚假，</w:t>
      </w:r>
      <w:r>
        <w:rPr>
          <w:sz w:val="22"/>
          <w:szCs w:val="22"/>
        </w:rPr>
        <w:t>愿接受取消</w:t>
      </w:r>
      <w:r>
        <w:rPr>
          <w:kern w:val="0"/>
          <w:sz w:val="22"/>
          <w:szCs w:val="22"/>
        </w:rPr>
        <w:t>我方任何资格（</w:t>
      </w:r>
      <w:r>
        <w:rPr>
          <w:rFonts w:hint="eastAsia"/>
          <w:kern w:val="0"/>
          <w:sz w:val="22"/>
          <w:szCs w:val="22"/>
          <w:lang w:val="en-US" w:eastAsia="zh-CN"/>
        </w:rPr>
        <w:t>报价</w:t>
      </w:r>
      <w:r>
        <w:rPr>
          <w:kern w:val="0"/>
          <w:sz w:val="22"/>
          <w:szCs w:val="22"/>
        </w:rPr>
        <w:t>/成交/签订合同）</w:t>
      </w:r>
      <w:r>
        <w:rPr>
          <w:sz w:val="22"/>
          <w:szCs w:val="22"/>
        </w:rPr>
        <w:t>及其他任何形式的处理。</w:t>
      </w:r>
    </w:p>
    <w:p>
      <w:pPr>
        <w:widowControl/>
        <w:snapToGrid w:val="0"/>
        <w:spacing w:line="440" w:lineRule="exact"/>
        <w:ind w:firstLine="440" w:firstLineChars="200"/>
        <w:jc w:val="left"/>
        <w:rPr>
          <w:kern w:val="0"/>
          <w:sz w:val="22"/>
          <w:szCs w:val="22"/>
        </w:rPr>
      </w:pPr>
    </w:p>
    <w:p>
      <w:pPr>
        <w:snapToGrid w:val="0"/>
        <w:spacing w:line="360" w:lineRule="auto"/>
        <w:ind w:firstLine="5060" w:firstLineChars="2300"/>
        <w:rPr>
          <w:kern w:val="0"/>
          <w:sz w:val="22"/>
          <w:szCs w:val="22"/>
          <w:lang w:val="zh-CN"/>
        </w:rPr>
      </w:pPr>
    </w:p>
    <w:p>
      <w:pPr>
        <w:widowControl/>
        <w:snapToGrid w:val="0"/>
        <w:spacing w:line="460" w:lineRule="exact"/>
        <w:ind w:firstLine="440" w:firstLineChars="200"/>
        <w:jc w:val="left"/>
        <w:rPr>
          <w:kern w:val="0"/>
          <w:sz w:val="22"/>
          <w:szCs w:val="22"/>
        </w:rPr>
      </w:pPr>
      <w:r>
        <w:rPr>
          <w:sz w:val="22"/>
          <w:szCs w:val="22"/>
        </w:rPr>
        <w:t>供应商全称（盖章）</w:t>
      </w:r>
      <w:r>
        <w:rPr>
          <w:kern w:val="0"/>
          <w:sz w:val="22"/>
          <w:szCs w:val="22"/>
        </w:rPr>
        <w:t xml:space="preserve"> ：</w:t>
      </w:r>
    </w:p>
    <w:p>
      <w:pPr>
        <w:widowControl/>
        <w:snapToGrid w:val="0"/>
        <w:spacing w:line="460" w:lineRule="exact"/>
        <w:ind w:firstLine="440" w:firstLineChars="200"/>
        <w:jc w:val="left"/>
        <w:rPr>
          <w:kern w:val="0"/>
          <w:sz w:val="22"/>
          <w:szCs w:val="22"/>
        </w:rPr>
      </w:pPr>
      <w:r>
        <w:rPr>
          <w:kern w:val="0"/>
          <w:sz w:val="22"/>
          <w:szCs w:val="22"/>
        </w:rPr>
        <w:t>法定代表人或其授权代表（签字或盖章）：</w:t>
      </w:r>
    </w:p>
    <w:p>
      <w:pPr>
        <w:pStyle w:val="5"/>
        <w:spacing w:line="460" w:lineRule="exact"/>
        <w:ind w:left="486" w:leftChars="213" w:hanging="39" w:hangingChars="18"/>
        <w:rPr>
          <w:kern w:val="0"/>
          <w:sz w:val="22"/>
          <w:szCs w:val="22"/>
        </w:rPr>
      </w:pPr>
      <w:r>
        <w:rPr>
          <w:kern w:val="0"/>
          <w:sz w:val="22"/>
          <w:szCs w:val="22"/>
        </w:rPr>
        <w:t>日期：     年    月   日</w:t>
      </w:r>
    </w:p>
    <w:p/>
    <w:p>
      <w:pPr>
        <w:widowControl/>
        <w:jc w:val="left"/>
        <w:rPr>
          <w:b/>
          <w:bCs/>
          <w:sz w:val="22"/>
          <w:szCs w:val="22"/>
        </w:rPr>
      </w:pPr>
      <w:r>
        <w:rPr>
          <w:b/>
          <w:kern w:val="0"/>
          <w:sz w:val="28"/>
          <w:szCs w:val="28"/>
        </w:rPr>
        <w:br w:type="page"/>
      </w:r>
      <w:bookmarkEnd w:id="5"/>
    </w:p>
    <w:p>
      <w:pPr>
        <w:spacing w:line="560" w:lineRule="exact"/>
        <w:ind w:firstLine="560" w:firstLineChars="200"/>
        <w:rPr>
          <w:rFonts w:eastAsia="仿宋_GB2312"/>
          <w:sz w:val="28"/>
          <w:szCs w:val="28"/>
        </w:rPr>
      </w:pPr>
      <w:r>
        <w:rPr>
          <w:rFonts w:eastAsia="仿宋_GB2312"/>
          <w:sz w:val="28"/>
          <w:szCs w:val="28"/>
        </w:rPr>
        <w:t>附件</w:t>
      </w:r>
      <w:r>
        <w:rPr>
          <w:rFonts w:hint="default" w:ascii="Times New Roman" w:hAnsi="Times New Roman" w:eastAsia="仿宋_GB2312" w:cs="Times New Roman"/>
          <w:sz w:val="28"/>
          <w:szCs w:val="28"/>
        </w:rPr>
        <w:t>3</w:t>
      </w:r>
    </w:p>
    <w:p>
      <w:pPr>
        <w:spacing w:line="400" w:lineRule="exact"/>
        <w:jc w:val="center"/>
        <w:rPr>
          <w:b/>
          <w:bCs/>
          <w:sz w:val="28"/>
          <w:szCs w:val="28"/>
        </w:rPr>
      </w:pPr>
    </w:p>
    <w:p>
      <w:pPr>
        <w:spacing w:line="400" w:lineRule="exact"/>
        <w:jc w:val="center"/>
        <w:rPr>
          <w:b/>
          <w:bCs/>
          <w:sz w:val="28"/>
          <w:szCs w:val="28"/>
        </w:rPr>
      </w:pPr>
    </w:p>
    <w:p>
      <w:pPr>
        <w:spacing w:line="400" w:lineRule="exact"/>
        <w:jc w:val="center"/>
        <w:rPr>
          <w:b/>
          <w:bCs/>
          <w:sz w:val="28"/>
          <w:szCs w:val="28"/>
        </w:rPr>
      </w:pPr>
      <w:r>
        <w:rPr>
          <w:b/>
          <w:bCs/>
          <w:sz w:val="28"/>
          <w:szCs w:val="28"/>
        </w:rPr>
        <w:t>法定代表人授权书</w:t>
      </w:r>
    </w:p>
    <w:p>
      <w:pPr>
        <w:spacing w:line="460" w:lineRule="exact"/>
        <w:rPr>
          <w:sz w:val="22"/>
          <w:szCs w:val="22"/>
        </w:rPr>
      </w:pPr>
      <w:r>
        <w:rPr>
          <w:sz w:val="22"/>
          <w:szCs w:val="22"/>
        </w:rPr>
        <w:t>东莞市</w:t>
      </w:r>
      <w:r>
        <w:rPr>
          <w:rFonts w:hint="eastAsia"/>
          <w:sz w:val="22"/>
          <w:szCs w:val="22"/>
          <w:lang w:val="en-US" w:eastAsia="zh-CN"/>
        </w:rPr>
        <w:t>住房和城乡建设局</w:t>
      </w:r>
      <w:r>
        <w:rPr>
          <w:sz w:val="22"/>
          <w:szCs w:val="22"/>
        </w:rPr>
        <w:t>：</w:t>
      </w:r>
    </w:p>
    <w:p>
      <w:pPr>
        <w:spacing w:line="460" w:lineRule="exact"/>
        <w:rPr>
          <w:sz w:val="22"/>
          <w:szCs w:val="22"/>
          <w:u w:val="single"/>
        </w:rPr>
      </w:pPr>
    </w:p>
    <w:p>
      <w:pPr>
        <w:spacing w:line="460" w:lineRule="exact"/>
        <w:ind w:firstLine="550" w:firstLineChars="250"/>
        <w:rPr>
          <w:sz w:val="22"/>
          <w:szCs w:val="22"/>
        </w:rPr>
      </w:pPr>
      <w:r>
        <w:rPr>
          <w:sz w:val="22"/>
          <w:szCs w:val="22"/>
          <w:u w:val="single"/>
        </w:rPr>
        <w:t xml:space="preserve">             </w:t>
      </w:r>
      <w:r>
        <w:rPr>
          <w:sz w:val="22"/>
          <w:szCs w:val="22"/>
        </w:rPr>
        <w:t>（供应商全称）法定代表人</w:t>
      </w:r>
      <w:r>
        <w:rPr>
          <w:sz w:val="22"/>
          <w:szCs w:val="22"/>
          <w:u w:val="single"/>
        </w:rPr>
        <w:t xml:space="preserve">          </w:t>
      </w:r>
      <w:r>
        <w:rPr>
          <w:sz w:val="22"/>
          <w:szCs w:val="22"/>
        </w:rPr>
        <w:t>授权</w:t>
      </w:r>
      <w:r>
        <w:rPr>
          <w:sz w:val="22"/>
          <w:szCs w:val="22"/>
          <w:u w:val="single"/>
        </w:rPr>
        <w:t xml:space="preserve">        </w:t>
      </w:r>
      <w:r>
        <w:rPr>
          <w:sz w:val="22"/>
          <w:szCs w:val="22"/>
        </w:rPr>
        <w:t>（全权代表姓名）为全权代表，参加贵局组织的</w:t>
      </w:r>
      <w:r>
        <w:rPr>
          <w:sz w:val="22"/>
          <w:szCs w:val="22"/>
          <w:u w:val="single"/>
        </w:rPr>
        <w:t xml:space="preserve">  </w:t>
      </w:r>
      <w:r>
        <w:rPr>
          <w:rFonts w:hint="eastAsia"/>
          <w:sz w:val="22"/>
          <w:szCs w:val="22"/>
          <w:u w:val="single"/>
        </w:rPr>
        <w:t xml:space="preserve">                                  </w:t>
      </w:r>
      <w:r>
        <w:rPr>
          <w:sz w:val="22"/>
          <w:szCs w:val="22"/>
          <w:u w:val="single"/>
        </w:rPr>
        <w:t xml:space="preserve">      </w:t>
      </w:r>
      <w:r>
        <w:rPr>
          <w:sz w:val="22"/>
          <w:szCs w:val="22"/>
        </w:rPr>
        <w:t>的采购活动，全权代表我方处理采购活动中的一切事宜。</w:t>
      </w:r>
    </w:p>
    <w:p>
      <w:pPr>
        <w:spacing w:line="460" w:lineRule="exact"/>
        <w:ind w:firstLine="2955"/>
        <w:rPr>
          <w:sz w:val="22"/>
          <w:szCs w:val="22"/>
        </w:rPr>
      </w:pPr>
    </w:p>
    <w:p>
      <w:pPr>
        <w:spacing w:line="460" w:lineRule="exact"/>
        <w:ind w:firstLine="2955"/>
        <w:rPr>
          <w:sz w:val="22"/>
          <w:szCs w:val="22"/>
        </w:rPr>
      </w:pPr>
      <w:r>
        <w:rPr>
          <w:sz w:val="22"/>
          <w:szCs w:val="22"/>
        </w:rPr>
        <w:t xml:space="preserve">          </w:t>
      </w:r>
    </w:p>
    <w:p>
      <w:pPr>
        <w:spacing w:line="460" w:lineRule="exact"/>
        <w:ind w:firstLine="4080" w:firstLineChars="1855"/>
        <w:rPr>
          <w:sz w:val="22"/>
          <w:szCs w:val="22"/>
        </w:rPr>
      </w:pPr>
      <w:r>
        <w:rPr>
          <w:sz w:val="22"/>
          <w:szCs w:val="22"/>
        </w:rPr>
        <w:t>法定代表人(签字或盖章)：</w:t>
      </w:r>
    </w:p>
    <w:p>
      <w:pPr>
        <w:spacing w:line="460" w:lineRule="exact"/>
        <w:ind w:firstLine="2955"/>
        <w:rPr>
          <w:sz w:val="22"/>
          <w:szCs w:val="22"/>
        </w:rPr>
      </w:pPr>
      <w:r>
        <w:rPr>
          <w:sz w:val="22"/>
          <w:szCs w:val="22"/>
        </w:rPr>
        <w:t xml:space="preserve">          供应商全称（公章）：</w:t>
      </w:r>
    </w:p>
    <w:p>
      <w:pPr>
        <w:spacing w:line="460" w:lineRule="exact"/>
        <w:ind w:firstLine="2955"/>
        <w:rPr>
          <w:sz w:val="22"/>
          <w:szCs w:val="22"/>
        </w:rPr>
      </w:pPr>
      <w:r>
        <w:rPr>
          <w:sz w:val="22"/>
          <w:szCs w:val="22"/>
        </w:rPr>
        <w:t xml:space="preserve">          日   期：  </w:t>
      </w:r>
    </w:p>
    <w:p>
      <w:pPr>
        <w:spacing w:line="380" w:lineRule="exact"/>
        <w:rPr>
          <w:sz w:val="22"/>
          <w:szCs w:val="22"/>
        </w:rPr>
      </w:pPr>
    </w:p>
    <w:p>
      <w:pPr>
        <w:spacing w:line="380" w:lineRule="exact"/>
        <w:rPr>
          <w:sz w:val="22"/>
          <w:szCs w:val="22"/>
        </w:rPr>
      </w:pPr>
    </w:p>
    <w:p>
      <w:pPr>
        <w:spacing w:line="380" w:lineRule="exact"/>
        <w:rPr>
          <w:sz w:val="22"/>
          <w:szCs w:val="22"/>
        </w:rPr>
      </w:pPr>
    </w:p>
    <w:p>
      <w:pPr>
        <w:spacing w:line="460" w:lineRule="exact"/>
        <w:ind w:firstLine="541" w:firstLineChars="245"/>
        <w:rPr>
          <w:b/>
          <w:bCs/>
          <w:sz w:val="22"/>
          <w:szCs w:val="22"/>
        </w:rPr>
      </w:pPr>
      <w:r>
        <w:rPr>
          <w:b/>
          <w:bCs/>
          <w:sz w:val="22"/>
          <w:szCs w:val="22"/>
        </w:rPr>
        <w:t>附：</w:t>
      </w:r>
    </w:p>
    <w:p>
      <w:pPr>
        <w:spacing w:line="460" w:lineRule="exact"/>
        <w:ind w:firstLine="539" w:firstLineChars="245"/>
        <w:rPr>
          <w:b/>
          <w:bCs/>
          <w:sz w:val="22"/>
          <w:szCs w:val="22"/>
        </w:rPr>
      </w:pPr>
      <w:r>
        <w:rPr>
          <w:sz w:val="22"/>
          <w:szCs w:val="22"/>
        </w:rPr>
        <w:t xml:space="preserve">授权代表姓名：                               </w:t>
      </w:r>
    </w:p>
    <w:p>
      <w:pPr>
        <w:spacing w:line="460" w:lineRule="exact"/>
        <w:ind w:firstLine="539" w:firstLineChars="245"/>
        <w:rPr>
          <w:b/>
          <w:bCs/>
          <w:sz w:val="22"/>
          <w:szCs w:val="22"/>
        </w:rPr>
      </w:pPr>
      <w:r>
        <w:rPr>
          <w:sz w:val="22"/>
          <w:szCs w:val="22"/>
        </w:rPr>
        <w:t>职务：</w:t>
      </w:r>
    </w:p>
    <w:p>
      <w:pPr>
        <w:spacing w:line="460" w:lineRule="exact"/>
        <w:ind w:firstLine="539" w:firstLineChars="245"/>
        <w:rPr>
          <w:b/>
          <w:bCs/>
          <w:sz w:val="22"/>
          <w:szCs w:val="22"/>
        </w:rPr>
      </w:pPr>
      <w:r>
        <w:rPr>
          <w:sz w:val="22"/>
          <w:szCs w:val="22"/>
        </w:rPr>
        <w:t>详细通讯地址：</w:t>
      </w:r>
    </w:p>
    <w:p>
      <w:pPr>
        <w:spacing w:line="460" w:lineRule="exact"/>
        <w:ind w:firstLine="539" w:firstLineChars="245"/>
        <w:rPr>
          <w:b/>
          <w:bCs/>
          <w:sz w:val="22"/>
          <w:szCs w:val="22"/>
        </w:rPr>
      </w:pPr>
      <w:r>
        <w:rPr>
          <w:sz w:val="22"/>
          <w:szCs w:val="22"/>
        </w:rPr>
        <w:t>电话：</w:t>
      </w:r>
    </w:p>
    <w:p>
      <w:pPr>
        <w:spacing w:line="460" w:lineRule="exact"/>
        <w:ind w:firstLine="539" w:firstLineChars="245"/>
        <w:rPr>
          <w:b/>
          <w:bCs/>
          <w:sz w:val="22"/>
          <w:szCs w:val="22"/>
        </w:rPr>
      </w:pPr>
      <w:r>
        <w:rPr>
          <w:sz w:val="22"/>
          <w:szCs w:val="22"/>
        </w:rPr>
        <w:t>传真：</w:t>
      </w:r>
    </w:p>
    <w:p>
      <w:pPr>
        <w:spacing w:line="460" w:lineRule="exact"/>
        <w:ind w:firstLine="539" w:firstLineChars="245"/>
        <w:rPr>
          <w:b/>
          <w:bCs/>
          <w:sz w:val="22"/>
          <w:szCs w:val="22"/>
        </w:rPr>
      </w:pPr>
      <w:r>
        <w:rPr>
          <w:sz w:val="22"/>
          <w:szCs w:val="22"/>
        </w:rPr>
        <w:t>邮政编码:</w:t>
      </w:r>
    </w:p>
    <w:p>
      <w:pPr>
        <w:spacing w:line="380" w:lineRule="exact"/>
        <w:rPr>
          <w:sz w:val="22"/>
          <w:szCs w:val="22"/>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r>
        <w:rPr>
          <w:sz w:val="22"/>
          <w:szCs w:val="22"/>
        </w:rPr>
        <mc:AlternateContent>
          <mc:Choice Requires="wps">
            <w:drawing>
              <wp:anchor distT="0" distB="0" distL="114300" distR="114300" simplePos="0" relativeHeight="251658240" behindDoc="0" locked="0" layoutInCell="1" allowOverlap="1">
                <wp:simplePos x="0" y="0"/>
                <wp:positionH relativeFrom="column">
                  <wp:posOffset>113665</wp:posOffset>
                </wp:positionH>
                <wp:positionV relativeFrom="paragraph">
                  <wp:posOffset>320675</wp:posOffset>
                </wp:positionV>
                <wp:extent cx="5259705" cy="3004185"/>
                <wp:effectExtent l="5080" t="4445" r="12065" b="20320"/>
                <wp:wrapNone/>
                <wp:docPr id="1028" name="矩形 1028"/>
                <wp:cNvGraphicFramePr/>
                <a:graphic xmlns:a="http://schemas.openxmlformats.org/drawingml/2006/main">
                  <a:graphicData uri="http://schemas.microsoft.com/office/word/2010/wordprocessingShape">
                    <wps:wsp>
                      <wps:cNvSpPr/>
                      <wps:spPr>
                        <a:xfrm>
                          <a:off x="0" y="0"/>
                          <a:ext cx="5259705" cy="30041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新宋体" w:hAnsi="新宋体" w:eastAsia="新宋体"/>
                                <w:sz w:val="22"/>
                                <w:szCs w:val="22"/>
                              </w:rPr>
                              <w:t xml:space="preserve">  法定代表人身份证（正反面）：</w:t>
                            </w:r>
                          </w:p>
                        </w:txbxContent>
                      </wps:txbx>
                      <wps:bodyPr upright="true"/>
                    </wps:wsp>
                  </a:graphicData>
                </a:graphic>
              </wp:anchor>
            </w:drawing>
          </mc:Choice>
          <mc:Fallback>
            <w:pict>
              <v:rect id="_x0000_s1026" o:spid="_x0000_s1026" o:spt="1" style="position:absolute;left:0pt;margin-left:8.95pt;margin-top:25.25pt;height:236.55pt;width:414.15pt;z-index:251658240;mso-width-relative:page;mso-height-relative:page;" fillcolor="#FFFFFF" filled="t" stroked="t" coordsize="21600,21600" o:gfxdata="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OH2IGdcAAAAJAQAADwAAAAAAAAABACAAAAA4AAAAZHJz&#10;L2Rvd25yZXYueG1sUEsBAhQAFAAAAAgAh07iQJlRjjbvAQAA8wMAAA4AAAAAAAAAAQAgAAAAPAEA&#10;AGRycy9lMm9Eb2MueG1sUEsFBgAAAAAGAAYAWQEAAJ0FAAAAAA==&#10;">
                <v:fill on="t" focussize="0,0"/>
                <v:stroke color="#000000" joinstyle="miter"/>
                <v:imagedata o:title=""/>
                <o:lock v:ext="edit" aspectratio="f"/>
                <v:textbox>
                  <w:txbxContent>
                    <w:p>
                      <w:r>
                        <w:rPr>
                          <w:rFonts w:hint="eastAsia" w:ascii="新宋体" w:hAnsi="新宋体" w:eastAsia="新宋体"/>
                          <w:sz w:val="22"/>
                          <w:szCs w:val="22"/>
                        </w:rPr>
                        <w:t xml:space="preserve">  法定代表人身份证（正反面）：</w:t>
                      </w:r>
                    </w:p>
                  </w:txbxContent>
                </v:textbox>
              </v:rect>
            </w:pict>
          </mc:Fallback>
        </mc:AlternateContent>
      </w: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r>
        <w:rPr>
          <w:sz w:val="22"/>
          <w:szCs w:val="22"/>
        </w:rPr>
        <mc:AlternateContent>
          <mc:Choice Requires="wps">
            <w:drawing>
              <wp:anchor distT="0" distB="0" distL="114300" distR="114300" simplePos="0" relativeHeight="251659264" behindDoc="0" locked="0" layoutInCell="1" allowOverlap="1">
                <wp:simplePos x="0" y="0"/>
                <wp:positionH relativeFrom="column">
                  <wp:posOffset>113030</wp:posOffset>
                </wp:positionH>
                <wp:positionV relativeFrom="paragraph">
                  <wp:posOffset>1270</wp:posOffset>
                </wp:positionV>
                <wp:extent cx="5284470" cy="3407410"/>
                <wp:effectExtent l="4445" t="4445" r="6985" b="17145"/>
                <wp:wrapNone/>
                <wp:docPr id="1029" name="矩形 1029"/>
                <wp:cNvGraphicFramePr/>
                <a:graphic xmlns:a="http://schemas.openxmlformats.org/drawingml/2006/main">
                  <a:graphicData uri="http://schemas.microsoft.com/office/word/2010/wordprocessingShape">
                    <wps:wsp>
                      <wps:cNvSpPr/>
                      <wps:spPr>
                        <a:xfrm>
                          <a:off x="0" y="0"/>
                          <a:ext cx="5284470" cy="34074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新宋体" w:hAnsi="新宋体" w:eastAsia="新宋体"/>
                                <w:sz w:val="22"/>
                                <w:szCs w:val="22"/>
                              </w:rPr>
                              <w:t xml:space="preserve">  授权代表身份证（正反面）：</w:t>
                            </w:r>
                          </w:p>
                        </w:txbxContent>
                      </wps:txbx>
                      <wps:bodyPr upright="true"/>
                    </wps:wsp>
                  </a:graphicData>
                </a:graphic>
              </wp:anchor>
            </w:drawing>
          </mc:Choice>
          <mc:Fallback>
            <w:pict>
              <v:rect id="_x0000_s1026" o:spid="_x0000_s1026" o:spt="1" style="position:absolute;left:0pt;margin-left:8.9pt;margin-top:0.1pt;height:268.3pt;width:416.1pt;z-index:251659264;mso-width-relative:page;mso-height-relative:page;" fillcolor="#FFFFFF" filled="t" stroked="t" coordsize="21600,21600" o:gfxdata="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8qsZmdUAAAAHAQAADwAAAAAAAAABACAAAAA4AAAA&#10;ZHJzL2Rvd25yZXYueG1sUEsBAhQAFAAAAAgAh07iQCzBLWD0AQAA8wMAAA4AAAAAAAAAAQAgAAAA&#10;OgEAAGRycy9lMm9Eb2MueG1sUEsFBgAAAAAGAAYAWQEAAKAFAAAAAA==&#10;">
                <v:fill on="t" focussize="0,0"/>
                <v:stroke color="#000000" joinstyle="miter"/>
                <v:imagedata o:title=""/>
                <o:lock v:ext="edit" aspectratio="f"/>
                <v:textbox>
                  <w:txbxContent>
                    <w:p>
                      <w:r>
                        <w:rPr>
                          <w:rFonts w:hint="eastAsia" w:ascii="新宋体" w:hAnsi="新宋体" w:eastAsia="新宋体"/>
                          <w:sz w:val="22"/>
                          <w:szCs w:val="22"/>
                        </w:rPr>
                        <w:t xml:space="preserve">  授权代表身份证（正反面）：</w:t>
                      </w:r>
                    </w:p>
                  </w:txbxContent>
                </v:textbox>
              </v:rect>
            </w:pict>
          </mc:Fallback>
        </mc:AlternateContent>
      </w: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spacing w:line="460" w:lineRule="exact"/>
        <w:jc w:val="center"/>
        <w:rPr>
          <w:b/>
          <w:bCs/>
          <w:sz w:val="28"/>
          <w:szCs w:val="28"/>
        </w:rPr>
      </w:pPr>
    </w:p>
    <w:p>
      <w:pPr>
        <w:rPr>
          <w:b/>
          <w:sz w:val="28"/>
        </w:rPr>
      </w:pPr>
      <w:r>
        <w:rPr>
          <w:b/>
          <w:sz w:val="28"/>
        </w:rPr>
        <w:br w:type="page"/>
      </w:r>
    </w:p>
    <w:p>
      <w:pPr>
        <w:spacing w:line="560" w:lineRule="exact"/>
        <w:ind w:firstLine="560" w:firstLineChars="200"/>
        <w:rPr>
          <w:rFonts w:hint="eastAsia" w:eastAsia="仿宋_GB2312"/>
          <w:sz w:val="28"/>
          <w:szCs w:val="28"/>
          <w:lang w:eastAsia="zh-CN"/>
        </w:rPr>
      </w:pPr>
      <w:r>
        <w:rPr>
          <w:rFonts w:eastAsia="仿宋_GB2312"/>
          <w:sz w:val="28"/>
          <w:szCs w:val="28"/>
        </w:rPr>
        <w:t>附件</w:t>
      </w:r>
      <w:r>
        <w:rPr>
          <w:rFonts w:hint="eastAsia" w:ascii="Times New Roman" w:hAnsi="Times New Roman" w:eastAsia="仿宋_GB2312" w:cs="Times New Roman"/>
          <w:sz w:val="28"/>
          <w:szCs w:val="28"/>
          <w:lang w:val="en-US" w:eastAsia="zh-CN"/>
        </w:rPr>
        <w:t>4</w:t>
      </w:r>
    </w:p>
    <w:p>
      <w:pPr>
        <w:ind w:firstLine="480"/>
      </w:pPr>
      <w:r>
        <w:t>（以下格式文件由供应商根据需要选用）</w:t>
      </w:r>
    </w:p>
    <w:p>
      <w:pPr>
        <w:jc w:val="center"/>
      </w:pPr>
      <w:r>
        <w:rPr>
          <w:b/>
          <w:sz w:val="24"/>
        </w:rPr>
        <w:t>联合体共同投标协议书</w:t>
      </w:r>
    </w:p>
    <w:p>
      <w:pPr>
        <w:ind w:firstLine="480"/>
      </w:pPr>
      <w:r>
        <w:t>立约方：</w:t>
      </w:r>
      <w:r>
        <w:rPr>
          <w:u w:val="single"/>
        </w:rPr>
        <w:t>（甲公司全称）</w:t>
      </w:r>
    </w:p>
    <w:p>
      <w:pPr>
        <w:ind w:firstLine="480"/>
      </w:pPr>
      <w:r>
        <w:rPr>
          <w:u w:val="single"/>
        </w:rPr>
        <w:t>（乙公司全称）</w:t>
      </w:r>
    </w:p>
    <w:p>
      <w:pPr>
        <w:ind w:firstLine="480"/>
      </w:pPr>
      <w:r>
        <w:rPr>
          <w:u w:val="single"/>
        </w:rPr>
        <w:t>（……公司全称）</w:t>
      </w:r>
    </w:p>
    <w:p>
      <w:pPr>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pPr>
        <w:ind w:firstLine="480"/>
      </w:pPr>
      <w:r>
        <w:t>一、联合体各方关系</w:t>
      </w:r>
    </w:p>
    <w:p>
      <w:pPr>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pPr>
        <w:ind w:firstLine="480"/>
      </w:pPr>
      <w:r>
        <w:t>二、联合体内部有关事项约定如下：</w:t>
      </w:r>
    </w:p>
    <w:p>
      <w:pPr>
        <w:ind w:firstLine="480"/>
      </w:pPr>
      <w:r>
        <w:t>1.（甲公司全称）作为联合体的牵头单位，代表联合体双方负责投标和合同实施阶段的主办、协调工作。</w:t>
      </w:r>
    </w:p>
    <w:p>
      <w:pPr>
        <w:ind w:firstLine="480"/>
      </w:pPr>
      <w:r>
        <w:t>2.联合体将严格按照文件的各项要求，递交投标文件，切实执行一切合同文件，共同承担合同规定的一切义务和责任，同时按照内部职责的划分，承担自身所负的责任和风险，在法律在承担连带责任。</w:t>
      </w:r>
    </w:p>
    <w:p>
      <w:pPr>
        <w:ind w:firstLine="480"/>
      </w:pPr>
      <w:r>
        <w:t>3.如果本联合体中标，</w:t>
      </w:r>
      <w:r>
        <w:rPr>
          <w:u w:val="single"/>
        </w:rPr>
        <w:t>（甲公司全称）</w:t>
      </w:r>
      <w:r>
        <w:t>负责本项目___________部分，</w:t>
      </w:r>
      <w:r>
        <w:rPr>
          <w:u w:val="single"/>
        </w:rPr>
        <w:t>（乙公司全称）</w:t>
      </w:r>
      <w:r>
        <w:t>负责本项目___________部分。</w:t>
      </w:r>
    </w:p>
    <w:p>
      <w:pPr>
        <w:ind w:firstLine="480"/>
      </w:pPr>
      <w:r>
        <w:t>4.如中标，联合体各方共同与（采购人）签订合同书，并就中标项目向采购人负责有连带的和各自的法律责任；</w:t>
      </w:r>
    </w:p>
    <w:p>
      <w:pPr>
        <w:ind w:firstLine="480"/>
      </w:pPr>
      <w:r>
        <w:t>5.联合体成员（公司全称）为（请填写：小型、微型）企业，将承担合同总金额_____%的工作内容（联合体成员中有小型、微型企业时适用）。</w:t>
      </w:r>
    </w:p>
    <w:p>
      <w:pPr>
        <w:ind w:firstLine="480"/>
      </w:pPr>
      <w: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ind w:firstLine="480"/>
      </w:pPr>
      <w:r>
        <w:t>四、联合体如因违约过失责任而导致采购人经济损失或被索赔时，本联合体任何一方均同意无条件优先清偿采购人的一切债务和经济赔偿。</w:t>
      </w:r>
    </w:p>
    <w:p>
      <w:pPr>
        <w:ind w:firstLine="480"/>
      </w:pPr>
      <w:r>
        <w:t>五、本协议在自签署之日起生效，有效期内有效，如获中标资格，合同有效期延续至合同履行完毕之日。</w:t>
      </w:r>
    </w:p>
    <w:p>
      <w:pPr>
        <w:ind w:firstLine="480"/>
      </w:pPr>
      <w:r>
        <w:t>六、本协议书正本一式_____份，随投标文件装订_____份，送采购人_____份，联合体成员各一份；副本一式_____份，联合体成员各执_____份。</w:t>
      </w:r>
    </w:p>
    <w:p>
      <w:r>
        <w:t>甲公司全称：____（盖章）________，乙公司全称：____（盖章）________，……公司全称：____（盖章）________，</w:t>
      </w:r>
    </w:p>
    <w:p>
      <w:r>
        <w:t>____年____月 ____日，____年____月____日，____年____月____日</w:t>
      </w:r>
    </w:p>
    <w:p>
      <w:pPr>
        <w:ind w:firstLine="480"/>
      </w:pPr>
      <w:r>
        <w:t>注：1．联合响应时需签本协议，联合体各方成员应在本协议上共同盖章确认。</w:t>
      </w:r>
    </w:p>
    <w:p>
      <w:pPr>
        <w:ind w:firstLine="480"/>
      </w:pPr>
      <w:r>
        <w:t>2．本协议内容不得擅自修改。此协议将作为签订合同的附件之一。</w:t>
      </w:r>
    </w:p>
    <w:p>
      <w:pPr>
        <w:ind w:firstLine="480"/>
      </w:pPr>
    </w:p>
    <w:p>
      <w:r>
        <w:t xml:space="preserve"> </w:t>
      </w:r>
    </w:p>
    <w:p/>
    <w:p>
      <w:pPr>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新宋体">
    <w:altName w:val="方正书宋_GBK"/>
    <w:panose1 w:val="02010609030101010101"/>
    <w:charset w:val="00"/>
    <w:family w:val="modern"/>
    <w:pitch w:val="default"/>
    <w:sig w:usb0="00000000" w:usb1="00000000" w:usb2="0000000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4500" w:firstLineChars="250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2"/>
                            <w:rPr>
                              <w:rStyle w:val="17"/>
                            </w:rPr>
                          </w:pPr>
                          <w:r>
                            <w:fldChar w:fldCharType="begin"/>
                          </w:r>
                          <w:r>
                            <w:rPr>
                              <w:rStyle w:val="17"/>
                            </w:rPr>
                            <w:instrText xml:space="preserve">PAGE  </w:instrText>
                          </w:r>
                          <w:r>
                            <w:fldChar w:fldCharType="separate"/>
                          </w:r>
                          <w:r>
                            <w:rPr>
                              <w:rStyle w:val="17"/>
                            </w:rPr>
                            <w:t>39</w:t>
                          </w:r>
                          <w:r>
                            <w:fldChar w:fldCharType="end"/>
                          </w:r>
                        </w:p>
                      </w:txbxContent>
                    </wps:txbx>
                    <wps:bodyPr wrap="none" lIns="0" tIns="0" rIns="0" bIns="0" upright="true">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Ll1uVLQAAAABQEAAA8AAAAAAAAAAQAgAAAAOAAAAGRycy9kb3ducmV2LnhtbFBLAQIU&#10;ABQAAAAIAIdO4kDmlgRtrAEAAE8DAAAOAAAAAAAAAAEAIAAAADUBAABkcnMvZTJvRG9jLnhtbFBL&#10;BQYAAAAABgAGAFkBAABTBQAAAAA=&#10;">
              <v:fill on="f" focussize="0,0"/>
              <v:stroke on="f"/>
              <v:imagedata o:title=""/>
              <o:lock v:ext="edit" aspectratio="f"/>
              <v:textbox inset="0mm,0mm,0mm,0mm" style="mso-fit-shape-to-text:t;">
                <w:txbxContent>
                  <w:p>
                    <w:pPr>
                      <w:pStyle w:val="12"/>
                      <w:rPr>
                        <w:rStyle w:val="17"/>
                      </w:rPr>
                    </w:pPr>
                    <w:r>
                      <w:fldChar w:fldCharType="begin"/>
                    </w:r>
                    <w:r>
                      <w:rPr>
                        <w:rStyle w:val="17"/>
                      </w:rPr>
                      <w:instrText xml:space="preserve">PAGE  </w:instrText>
                    </w:r>
                    <w:r>
                      <w:fldChar w:fldCharType="separate"/>
                    </w:r>
                    <w:r>
                      <w:rPr>
                        <w:rStyle w:val="17"/>
                      </w:rPr>
                      <w:t>39</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7DBC70C"/>
    <w:rsid w:val="0FF7527A"/>
    <w:rsid w:val="127730D9"/>
    <w:rsid w:val="13FF9438"/>
    <w:rsid w:val="177F50ED"/>
    <w:rsid w:val="1E3EC22B"/>
    <w:rsid w:val="1F3B1BD8"/>
    <w:rsid w:val="1FE9D362"/>
    <w:rsid w:val="1FF46AA6"/>
    <w:rsid w:val="23DF363D"/>
    <w:rsid w:val="2A73E6DC"/>
    <w:rsid w:val="2B6D70A1"/>
    <w:rsid w:val="2E5BA1CF"/>
    <w:rsid w:val="2F7D4416"/>
    <w:rsid w:val="312E06E7"/>
    <w:rsid w:val="32AF50D8"/>
    <w:rsid w:val="353D6A7E"/>
    <w:rsid w:val="35FD02AF"/>
    <w:rsid w:val="36F536DB"/>
    <w:rsid w:val="372F5A6A"/>
    <w:rsid w:val="3776D439"/>
    <w:rsid w:val="379B626B"/>
    <w:rsid w:val="379F597B"/>
    <w:rsid w:val="37D55A44"/>
    <w:rsid w:val="3BAEF237"/>
    <w:rsid w:val="3CFDD4E6"/>
    <w:rsid w:val="3DFF8A48"/>
    <w:rsid w:val="3ED7246B"/>
    <w:rsid w:val="3EFF8B06"/>
    <w:rsid w:val="3FEF8F5F"/>
    <w:rsid w:val="3FFFA84F"/>
    <w:rsid w:val="4EDAC195"/>
    <w:rsid w:val="4F5F1556"/>
    <w:rsid w:val="53B52B8D"/>
    <w:rsid w:val="53FFF392"/>
    <w:rsid w:val="557D82D1"/>
    <w:rsid w:val="56E69050"/>
    <w:rsid w:val="577BC3F1"/>
    <w:rsid w:val="57CFD341"/>
    <w:rsid w:val="57ED10DD"/>
    <w:rsid w:val="57FDACD3"/>
    <w:rsid w:val="591B3EA8"/>
    <w:rsid w:val="5AFF4104"/>
    <w:rsid w:val="5BBD30DB"/>
    <w:rsid w:val="5BF75262"/>
    <w:rsid w:val="5CBB1C90"/>
    <w:rsid w:val="5D5B32CF"/>
    <w:rsid w:val="5E7F2854"/>
    <w:rsid w:val="5EE770EA"/>
    <w:rsid w:val="5F7F5BE4"/>
    <w:rsid w:val="5F95E3F9"/>
    <w:rsid w:val="5FD527F0"/>
    <w:rsid w:val="5FD706B6"/>
    <w:rsid w:val="5FD98FFB"/>
    <w:rsid w:val="5FDB5727"/>
    <w:rsid w:val="5FEF313B"/>
    <w:rsid w:val="5FFEAA58"/>
    <w:rsid w:val="5FFEF45F"/>
    <w:rsid w:val="5FFF46BA"/>
    <w:rsid w:val="5FFFAC4C"/>
    <w:rsid w:val="632E5670"/>
    <w:rsid w:val="635D41B0"/>
    <w:rsid w:val="65BF8066"/>
    <w:rsid w:val="66DF688C"/>
    <w:rsid w:val="66EF5DA0"/>
    <w:rsid w:val="66FF2F8B"/>
    <w:rsid w:val="6757F420"/>
    <w:rsid w:val="6D6F650B"/>
    <w:rsid w:val="6DE34E93"/>
    <w:rsid w:val="6DEB7544"/>
    <w:rsid w:val="6EF91AB5"/>
    <w:rsid w:val="6F974B01"/>
    <w:rsid w:val="6FC6EB17"/>
    <w:rsid w:val="6FDBE7A4"/>
    <w:rsid w:val="6FDF7C8E"/>
    <w:rsid w:val="6FE14F0E"/>
    <w:rsid w:val="6FEF89AA"/>
    <w:rsid w:val="73C3C1F3"/>
    <w:rsid w:val="73FD770E"/>
    <w:rsid w:val="7552CE6B"/>
    <w:rsid w:val="75761E67"/>
    <w:rsid w:val="772B54BF"/>
    <w:rsid w:val="773FB6A6"/>
    <w:rsid w:val="77B1FEB5"/>
    <w:rsid w:val="77BF68E3"/>
    <w:rsid w:val="77DB2E0B"/>
    <w:rsid w:val="77E78FAD"/>
    <w:rsid w:val="77F78DB4"/>
    <w:rsid w:val="77F79321"/>
    <w:rsid w:val="797B8213"/>
    <w:rsid w:val="79F86FF0"/>
    <w:rsid w:val="79F95E38"/>
    <w:rsid w:val="7AECD9E8"/>
    <w:rsid w:val="7B598CEB"/>
    <w:rsid w:val="7BA64109"/>
    <w:rsid w:val="7BBB988B"/>
    <w:rsid w:val="7C3FDE9A"/>
    <w:rsid w:val="7CFFC251"/>
    <w:rsid w:val="7D7EEC26"/>
    <w:rsid w:val="7DAF67E0"/>
    <w:rsid w:val="7DBD32AC"/>
    <w:rsid w:val="7DBD3EB0"/>
    <w:rsid w:val="7DBDF612"/>
    <w:rsid w:val="7EDF4B9C"/>
    <w:rsid w:val="7EEF2218"/>
    <w:rsid w:val="7EFE1AC0"/>
    <w:rsid w:val="7F3A39DC"/>
    <w:rsid w:val="7F3F854F"/>
    <w:rsid w:val="7F64EA43"/>
    <w:rsid w:val="7F65522C"/>
    <w:rsid w:val="7FB71736"/>
    <w:rsid w:val="7FCDD53D"/>
    <w:rsid w:val="7FCF80F6"/>
    <w:rsid w:val="7FDB4955"/>
    <w:rsid w:val="7FE56063"/>
    <w:rsid w:val="7FE767FA"/>
    <w:rsid w:val="7FED1F50"/>
    <w:rsid w:val="7FEFE240"/>
    <w:rsid w:val="7FF338C8"/>
    <w:rsid w:val="7FF40DF5"/>
    <w:rsid w:val="7FFDE577"/>
    <w:rsid w:val="7FFDFBCA"/>
    <w:rsid w:val="7FFF500A"/>
    <w:rsid w:val="7FFF86B7"/>
    <w:rsid w:val="7FFFB6B1"/>
    <w:rsid w:val="873F2934"/>
    <w:rsid w:val="8D3F822B"/>
    <w:rsid w:val="92BC0749"/>
    <w:rsid w:val="97FED4B8"/>
    <w:rsid w:val="9AE08C8C"/>
    <w:rsid w:val="9B3B2765"/>
    <w:rsid w:val="9DFD578B"/>
    <w:rsid w:val="9DFF3F71"/>
    <w:rsid w:val="9F2EA5A6"/>
    <w:rsid w:val="9FF75C8F"/>
    <w:rsid w:val="AFAABDA5"/>
    <w:rsid w:val="AFECD366"/>
    <w:rsid w:val="AFFA0F49"/>
    <w:rsid w:val="AFFFE359"/>
    <w:rsid w:val="B2FF8686"/>
    <w:rsid w:val="B4DD8504"/>
    <w:rsid w:val="B56F251B"/>
    <w:rsid w:val="B5EEC837"/>
    <w:rsid w:val="B7AF8367"/>
    <w:rsid w:val="B7BFB9DF"/>
    <w:rsid w:val="B8F7DF0F"/>
    <w:rsid w:val="B9DE6705"/>
    <w:rsid w:val="B9DF7CDE"/>
    <w:rsid w:val="BBBF7779"/>
    <w:rsid w:val="BD73A7E8"/>
    <w:rsid w:val="BDBD50E0"/>
    <w:rsid w:val="BDDFBF83"/>
    <w:rsid w:val="BE1BCD9C"/>
    <w:rsid w:val="BE7947F9"/>
    <w:rsid w:val="BEF730C1"/>
    <w:rsid w:val="BF649B94"/>
    <w:rsid w:val="BFAEF228"/>
    <w:rsid w:val="BFD33413"/>
    <w:rsid w:val="BFDC27C8"/>
    <w:rsid w:val="C4DC03C5"/>
    <w:rsid w:val="CB7B2B36"/>
    <w:rsid w:val="CD3A34F2"/>
    <w:rsid w:val="CDE35745"/>
    <w:rsid w:val="CFD76DDA"/>
    <w:rsid w:val="CFEA55F0"/>
    <w:rsid w:val="CFF1879C"/>
    <w:rsid w:val="D3D7E2B6"/>
    <w:rsid w:val="D4BFC2F8"/>
    <w:rsid w:val="D6BECDC0"/>
    <w:rsid w:val="D77DD81F"/>
    <w:rsid w:val="D7EE060A"/>
    <w:rsid w:val="DAFDF59F"/>
    <w:rsid w:val="DB9972A0"/>
    <w:rsid w:val="DBDFE3A4"/>
    <w:rsid w:val="DBEB9C74"/>
    <w:rsid w:val="DBEF74F4"/>
    <w:rsid w:val="DCFF3FF5"/>
    <w:rsid w:val="DD13870E"/>
    <w:rsid w:val="DE9F5FB2"/>
    <w:rsid w:val="DEBC6E95"/>
    <w:rsid w:val="DECE3AD0"/>
    <w:rsid w:val="DEFE7F10"/>
    <w:rsid w:val="DF3F19D5"/>
    <w:rsid w:val="DF6F3F5F"/>
    <w:rsid w:val="DF7DB9A8"/>
    <w:rsid w:val="DFFE9B0C"/>
    <w:rsid w:val="DFFEE3CB"/>
    <w:rsid w:val="DFFFB213"/>
    <w:rsid w:val="E19AA477"/>
    <w:rsid w:val="E4FFA165"/>
    <w:rsid w:val="E58F7D8A"/>
    <w:rsid w:val="EBFB0EF6"/>
    <w:rsid w:val="ECBFA2CA"/>
    <w:rsid w:val="ECCD85A6"/>
    <w:rsid w:val="ECEDF657"/>
    <w:rsid w:val="EE073DD9"/>
    <w:rsid w:val="EEB343E1"/>
    <w:rsid w:val="EF7F3FEE"/>
    <w:rsid w:val="EFBE3987"/>
    <w:rsid w:val="EFFB6FEB"/>
    <w:rsid w:val="F16DEB33"/>
    <w:rsid w:val="F33EEF38"/>
    <w:rsid w:val="F53F8567"/>
    <w:rsid w:val="F56C0646"/>
    <w:rsid w:val="F5DD6F3D"/>
    <w:rsid w:val="F6DFD3FA"/>
    <w:rsid w:val="F75FAB60"/>
    <w:rsid w:val="F7FF3143"/>
    <w:rsid w:val="F9B9C0B1"/>
    <w:rsid w:val="F9FFEE66"/>
    <w:rsid w:val="FAFF8AA1"/>
    <w:rsid w:val="FB7D2E40"/>
    <w:rsid w:val="FB8F5556"/>
    <w:rsid w:val="FBB6BA17"/>
    <w:rsid w:val="FBDE7008"/>
    <w:rsid w:val="FBE4F3AE"/>
    <w:rsid w:val="FBEF29D6"/>
    <w:rsid w:val="FBF6483E"/>
    <w:rsid w:val="FDFA8598"/>
    <w:rsid w:val="FE645340"/>
    <w:rsid w:val="FE7FF7AF"/>
    <w:rsid w:val="FEF99EC6"/>
    <w:rsid w:val="FEFBE18A"/>
    <w:rsid w:val="FF1D6865"/>
    <w:rsid w:val="FF7F69DC"/>
    <w:rsid w:val="FF9B4390"/>
    <w:rsid w:val="FFA79212"/>
    <w:rsid w:val="FFACBD71"/>
    <w:rsid w:val="FFAEF9A0"/>
    <w:rsid w:val="FFD78383"/>
    <w:rsid w:val="FFD7936B"/>
    <w:rsid w:val="FFE14850"/>
    <w:rsid w:val="FFEF2D89"/>
    <w:rsid w:val="FFFBEE28"/>
    <w:rsid w:val="FFFDA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spacing w:before="260" w:after="260" w:line="600" w:lineRule="exact"/>
      <w:jc w:val="center"/>
      <w:outlineLvl w:val="2"/>
    </w:pPr>
    <w:rPr>
      <w:rFonts w:eastAsia="仿宋_GB2312"/>
      <w:b/>
      <w:kern w:val="0"/>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宋体" w:hAnsi="宋体" w:eastAsia="宋体" w:cs="宋体"/>
      <w:sz w:val="32"/>
      <w:szCs w:val="32"/>
    </w:rPr>
  </w:style>
  <w:style w:type="paragraph" w:customStyle="1" w:styleId="4">
    <w:name w:val="日期1"/>
    <w:basedOn w:val="1"/>
    <w:next w:val="1"/>
    <w:qFormat/>
    <w:uiPriority w:val="3"/>
    <w:pPr>
      <w:widowControl w:val="0"/>
      <w:suppressAutoHyphens/>
      <w:ind w:left="100"/>
    </w:pPr>
    <w:rPr>
      <w:rFonts w:ascii="Calibri" w:hAnsi="Calibri" w:eastAsia="仿宋" w:cs="Calibri"/>
      <w:color w:val="000000"/>
      <w:szCs w:val="24"/>
    </w:rPr>
  </w:style>
  <w:style w:type="paragraph" w:styleId="5">
    <w:name w:val="Body Text Indent"/>
    <w:basedOn w:val="1"/>
    <w:next w:val="6"/>
    <w:qFormat/>
    <w:uiPriority w:val="0"/>
    <w:pPr>
      <w:ind w:left="480" w:hanging="480" w:hangingChars="200"/>
    </w:pPr>
    <w:rPr>
      <w:sz w:val="24"/>
    </w:rPr>
  </w:style>
  <w:style w:type="paragraph" w:styleId="6">
    <w:name w:val="Body Text First Indent 2"/>
    <w:basedOn w:val="7"/>
    <w:qFormat/>
    <w:uiPriority w:val="99"/>
    <w:pPr>
      <w:tabs>
        <w:tab w:val="right" w:leader="dot" w:pos="8268"/>
      </w:tabs>
      <w:spacing w:line="200" w:lineRule="atLeast"/>
      <w:ind w:firstLine="420"/>
    </w:pPr>
    <w:rPr>
      <w:rFonts w:ascii="宋体" w:hAnsi="Courier New"/>
      <w:spacing w:val="-4"/>
      <w:sz w:val="18"/>
    </w:rPr>
  </w:style>
  <w:style w:type="paragraph" w:customStyle="1" w:styleId="7">
    <w:name w:val="正文缩进1"/>
    <w:basedOn w:val="8"/>
    <w:next w:val="6"/>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8">
    <w:name w:val="正文1"/>
    <w:basedOn w:val="9"/>
    <w:next w:val="10"/>
    <w:qFormat/>
    <w:uiPriority w:val="0"/>
    <w:pPr>
      <w:widowControl/>
      <w:spacing w:line="360" w:lineRule="auto"/>
      <w:ind w:left="360" w:firstLine="420"/>
      <w:jc w:val="left"/>
    </w:pPr>
    <w:rPr>
      <w:rFonts w:ascii="宋体" w:hAnsi="宋体" w:cs="宋体"/>
      <w:kern w:val="0"/>
      <w:szCs w:val="20"/>
    </w:rPr>
  </w:style>
  <w:style w:type="paragraph" w:styleId="9">
    <w:name w:val="toc 3"/>
    <w:basedOn w:val="1"/>
    <w:next w:val="1"/>
    <w:qFormat/>
    <w:uiPriority w:val="0"/>
    <w:pPr>
      <w:ind w:left="840" w:leftChars="400"/>
    </w:pPr>
  </w:style>
  <w:style w:type="paragraph" w:customStyle="1" w:styleId="10">
    <w:name w:val="标题 21"/>
    <w:basedOn w:val="8"/>
    <w:next w:val="8"/>
    <w:qFormat/>
    <w:uiPriority w:val="0"/>
    <w:pPr>
      <w:keepNext/>
      <w:keepLines/>
      <w:tabs>
        <w:tab w:val="left" w:pos="706"/>
      </w:tabs>
      <w:ind w:left="106" w:firstLine="454"/>
      <w:outlineLvl w:val="1"/>
    </w:pPr>
    <w:rPr>
      <w:rFonts w:ascii="Arial" w:hAnsi="Arial" w:eastAsia="??"/>
      <w:b/>
      <w:bCs/>
      <w:szCs w:val="32"/>
    </w:rPr>
  </w:style>
  <w:style w:type="paragraph" w:styleId="11">
    <w:name w:val="index 4"/>
    <w:basedOn w:val="1"/>
    <w:next w:val="1"/>
    <w:unhideWhenUsed/>
    <w:qFormat/>
    <w:uiPriority w:val="0"/>
    <w:pPr>
      <w:tabs>
        <w:tab w:val="left" w:pos="2079"/>
      </w:tabs>
    </w:pPr>
    <w:rPr>
      <w:rFonts w:ascii="仿宋" w:hAnsi="仿宋" w:eastAsia="仿宋"/>
      <w:snapToGrid/>
      <w:kern w:val="2"/>
      <w:szCs w:val="20"/>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6">
    <w:name w:val="Strong"/>
    <w:qFormat/>
    <w:uiPriority w:val="0"/>
    <w:rPr>
      <w:b/>
    </w:rPr>
  </w:style>
  <w:style w:type="character" w:styleId="17">
    <w:name w:val="page number"/>
    <w:qFormat/>
    <w:uiPriority w:val="0"/>
  </w:style>
  <w:style w:type="paragraph" w:customStyle="1" w:styleId="18">
    <w:name w:val="标题 3.1"/>
    <w:basedOn w:val="2"/>
    <w:qFormat/>
    <w:uiPriority w:val="0"/>
    <w:pPr>
      <w:tabs>
        <w:tab w:val="left" w:pos="1440"/>
        <w:tab w:val="left" w:pos="1620"/>
      </w:tabs>
      <w:jc w:val="both"/>
    </w:pPr>
    <w:rPr>
      <w:rFonts w:ascii="宋体" w:hAnsi="宋体" w:eastAsia="宋体"/>
      <w:color w:val="FF0000"/>
    </w:rPr>
  </w:style>
  <w:style w:type="paragraph" w:customStyle="1" w:styleId="19">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2976</Words>
  <Characters>3331</Characters>
  <Lines>0</Lines>
  <Paragraphs>0</Paragraphs>
  <TotalTime>2</TotalTime>
  <ScaleCrop>false</ScaleCrop>
  <LinksUpToDate>false</LinksUpToDate>
  <CharactersWithSpaces>3334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2022-04-11T11:57:00Z</dcterms:created>
  <dc:creator>五块钱</dc:creator>
  <cp:lastModifiedBy>uos</cp:lastModifiedBy>
  <dcterms:modified xsi:type="dcterms:W3CDTF">2026-03-30T17:30:05Z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eyJoZGlkIjoiYzJkODRlMmY3YjQ1YzRiZjYyM2JhYTE1MjJjZjQyNWQiLCJ1c2VySWQiOiIzNTIxOTQxNzEifQ==</vt:lpwstr>
  </property>
  <property fmtid="{D5CDD505-2E9C-101B-9397-08002B2CF9AE}" pid="4" name="ICV">
    <vt:lpwstr>94D733044AE74DAC87B218B8EB99C281_12</vt:lpwstr>
  </property>
</Properties>
</file>