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wordWrap/>
        <w:overflowPunct/>
        <w:topLinePunct w:val="0"/>
        <w:autoSpaceDE/>
        <w:autoSpaceDN/>
        <w:bidi w:val="0"/>
        <w:adjustRightInd/>
        <w:snapToGrid w:val="0"/>
        <w:spacing w:before="0" w:line="560" w:lineRule="exact"/>
        <w:outlineLvl w:val="9"/>
        <w:rPr>
          <w:rFonts w:hint="eastAsia" w:ascii="Times New Roman" w:hAnsi="Times New Roman" w:eastAsia="仿宋_GB2312" w:cs="Times New Roman"/>
          <w:color w:val="000000"/>
          <w:kern w:val="0"/>
          <w:sz w:val="32"/>
          <w:szCs w:val="32"/>
          <w:lang w:val="en-US" w:eastAsia="zh-CN" w:bidi="ar-SA"/>
        </w:rPr>
      </w:pPr>
      <w:bookmarkStart w:id="0" w:name="_GoBack"/>
      <w:bookmarkEnd w:id="0"/>
      <w:r>
        <w:rPr>
          <w:rFonts w:hint="eastAsia" w:ascii="Times New Roman" w:hAnsi="Times New Roman" w:eastAsia="仿宋_GB2312" w:cs="Times New Roman"/>
          <w:color w:val="000000"/>
          <w:kern w:val="0"/>
          <w:sz w:val="32"/>
          <w:szCs w:val="32"/>
          <w:lang w:val="en-US" w:eastAsia="zh-CN" w:bidi="ar-SA"/>
        </w:rPr>
        <w:t>附件4</w:t>
      </w:r>
    </w:p>
    <w:p>
      <w:pPr>
        <w:pStyle w:val="5"/>
        <w:spacing w:line="600" w:lineRule="exact"/>
        <w:jc w:val="center"/>
        <w:rPr>
          <w:rFonts w:hint="eastAsia" w:ascii="Times New Roman" w:hAnsi="Times New Roman" w:eastAsia="方正小标宋简体" w:cs="Times New Roman"/>
          <w:sz w:val="44"/>
          <w:lang w:val="en-US" w:eastAsia="zh-CN"/>
        </w:rPr>
      </w:pPr>
      <w:r>
        <w:rPr>
          <w:rFonts w:hint="eastAsia" w:ascii="Times New Roman" w:hAnsi="Times New Roman" w:eastAsia="方正小标宋简体" w:cs="Times New Roman"/>
          <w:sz w:val="44"/>
          <w:lang w:val="en-US" w:eastAsia="zh-CN"/>
        </w:rPr>
        <w:t>评审标准</w:t>
      </w:r>
    </w:p>
    <w:p>
      <w:pPr>
        <w:pStyle w:val="5"/>
        <w:spacing w:line="600" w:lineRule="exact"/>
        <w:jc w:val="center"/>
        <w:rPr>
          <w:rFonts w:hint="eastAsia" w:ascii="Times New Roman" w:hAnsi="Times New Roman" w:eastAsia="方正小标宋简体" w:cs="Times New Roman"/>
          <w:sz w:val="44"/>
          <w:lang w:val="en-US" w:eastAsia="zh-CN"/>
        </w:rPr>
      </w:pPr>
    </w:p>
    <w:p>
      <w:pPr>
        <w:keepLines w:val="0"/>
        <w:pageBreakBefore w:val="0"/>
        <w:widowControl/>
        <w:wordWrap/>
        <w:overflowPunct/>
        <w:topLinePunct w:val="0"/>
        <w:autoSpaceDE/>
        <w:autoSpaceDN/>
        <w:bidi w:val="0"/>
        <w:adjustRightInd/>
        <w:snapToGrid w:val="0"/>
        <w:spacing w:before="0" w:line="560" w:lineRule="exact"/>
        <w:ind w:firstLine="640" w:firstLineChars="200"/>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采购人成立评标小组，对供应商响应文件进行评审。得分为评标小组成员评分的算术平均分，分值保留小数点后两位。</w:t>
      </w:r>
    </w:p>
    <w:p>
      <w:pPr>
        <w:keepLines w:val="0"/>
        <w:pageBreakBefore w:val="0"/>
        <w:widowControl/>
        <w:wordWrap/>
        <w:overflowPunct/>
        <w:topLinePunct w:val="0"/>
        <w:autoSpaceDE/>
        <w:autoSpaceDN/>
        <w:bidi w:val="0"/>
        <w:adjustRightInd/>
        <w:snapToGrid w:val="0"/>
        <w:spacing w:before="0" w:line="560" w:lineRule="exact"/>
        <w:ind w:firstLine="640" w:firstLineChars="200"/>
        <w:outlineLvl w:val="9"/>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一、评标原则</w:t>
      </w:r>
    </w:p>
    <w:p>
      <w:pPr>
        <w:keepLines w:val="0"/>
        <w:pageBreakBefore w:val="0"/>
        <w:widowControl/>
        <w:wordWrap/>
        <w:overflowPunct/>
        <w:topLinePunct w:val="0"/>
        <w:autoSpaceDE/>
        <w:autoSpaceDN/>
        <w:bidi w:val="0"/>
        <w:adjustRightInd/>
        <w:snapToGrid w:val="0"/>
        <w:spacing w:before="0" w:line="560" w:lineRule="exact"/>
        <w:ind w:firstLine="640" w:firstLineChars="200"/>
        <w:outlineLvl w:val="9"/>
        <w:rPr>
          <w:rFonts w:hint="eastAsia" w:ascii="Times New Roman" w:hAnsi="Times New Roman" w:eastAsia="仿宋_GB2312" w:cs="Times New Roman"/>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次采购采用百分制综合评分法，即在供应商最大限度地满足项目实质性要求的基础上，按照评分标准的各项因素进行综合评审后，以评审总得分最高的供应商和次高的供应商作为第一和第二排序候选人的评分方法（若评审总得分相同，以报价低者优先）。根据采购要求，总分设定为100分：</w:t>
      </w:r>
      <w:r>
        <w:rPr>
          <w:rFonts w:hint="eastAsia" w:ascii="Times New Roman" w:hAnsi="Times New Roman" w:eastAsia="仿宋_GB2312" w:cs="Times New Roman"/>
          <w:b/>
          <w:bCs/>
          <w:color w:val="000000"/>
          <w:kern w:val="0"/>
          <w:sz w:val="32"/>
          <w:szCs w:val="32"/>
          <w:lang w:val="en-US" w:eastAsia="zh-CN" w:bidi="ar-SA"/>
        </w:rPr>
        <w:t>商务标30分（权值30%），技术标60分（权值60%），报价得分10分（权值10%）。</w:t>
      </w:r>
    </w:p>
    <w:p>
      <w:pPr>
        <w:keepLines w:val="0"/>
        <w:pageBreakBefore w:val="0"/>
        <w:widowControl/>
        <w:wordWrap/>
        <w:overflowPunct/>
        <w:topLinePunct w:val="0"/>
        <w:autoSpaceDE/>
        <w:autoSpaceDN/>
        <w:bidi w:val="0"/>
        <w:adjustRightInd/>
        <w:snapToGrid w:val="0"/>
        <w:spacing w:before="0" w:line="560" w:lineRule="exact"/>
        <w:ind w:firstLine="640" w:firstLineChars="200"/>
        <w:outlineLvl w:val="9"/>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二、评分方式</w:t>
      </w:r>
    </w:p>
    <w:p>
      <w:pPr>
        <w:keepLines w:val="0"/>
        <w:pageBreakBefore w:val="0"/>
        <w:widowControl/>
        <w:wordWrap/>
        <w:overflowPunct/>
        <w:topLinePunct w:val="0"/>
        <w:autoSpaceDE/>
        <w:autoSpaceDN/>
        <w:bidi w:val="0"/>
        <w:adjustRightInd/>
        <w:snapToGrid w:val="0"/>
        <w:spacing w:before="0" w:line="560" w:lineRule="exact"/>
        <w:ind w:firstLine="640" w:firstLineChars="200"/>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根据评标原则，所有响应文件的评分按商务部分、技术部分和报价部分三个部分分别打分的方式进行。</w:t>
      </w:r>
    </w:p>
    <w:p>
      <w:pPr>
        <w:keepLines w:val="0"/>
        <w:pageBreakBefore w:val="0"/>
        <w:widowControl/>
        <w:wordWrap/>
        <w:overflowPunct/>
        <w:topLinePunct w:val="0"/>
        <w:autoSpaceDE/>
        <w:autoSpaceDN/>
        <w:bidi w:val="0"/>
        <w:adjustRightInd/>
        <w:snapToGrid w:val="0"/>
        <w:spacing w:before="0" w:line="560" w:lineRule="exact"/>
        <w:ind w:firstLine="640" w:firstLineChars="200"/>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评标总得分（100分）=商务部分（30分）+技术部分（60分）+报价部分（10分）。</w:t>
      </w:r>
    </w:p>
    <w:tbl>
      <w:tblPr>
        <w:tblStyle w:val="3"/>
        <w:tblW w:w="9870"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076"/>
        <w:gridCol w:w="5749"/>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1" w:type="dxa"/>
            <w:gridSpan w:val="2"/>
            <w:noWrap w:val="0"/>
            <w:vAlign w:val="center"/>
          </w:tcPr>
          <w:p>
            <w:pPr>
              <w:keepLines w:val="0"/>
              <w:pageBreakBefore w:val="0"/>
              <w:widowControl/>
              <w:wordWrap/>
              <w:overflowPunct/>
              <w:topLinePunct w:val="0"/>
              <w:autoSpaceDE/>
              <w:autoSpaceDN/>
              <w:bidi w:val="0"/>
              <w:adjustRightInd/>
              <w:snapToGrid w:val="0"/>
              <w:spacing w:before="0" w:line="560" w:lineRule="exact"/>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分值构成（总分</w:t>
            </w:r>
            <w:r>
              <w:rPr>
                <w:rFonts w:hint="default" w:ascii="Times New Roman" w:hAnsi="Times New Roman" w:eastAsia="仿宋_GB2312" w:cs="Times New Roman"/>
                <w:color w:val="000000"/>
                <w:kern w:val="0"/>
                <w:sz w:val="32"/>
                <w:szCs w:val="32"/>
                <w:lang w:val="en-US" w:eastAsia="zh-CN" w:bidi="ar-SA"/>
              </w:rPr>
              <w:t>100</w:t>
            </w:r>
            <w:r>
              <w:rPr>
                <w:rFonts w:hint="eastAsia" w:ascii="仿宋_GB2312" w:hAnsi="仿宋_GB2312" w:eastAsia="仿宋_GB2312" w:cs="仿宋_GB2312"/>
                <w:color w:val="000000"/>
                <w:kern w:val="0"/>
                <w:sz w:val="32"/>
                <w:szCs w:val="32"/>
                <w:lang w:val="en-US" w:eastAsia="zh-CN" w:bidi="ar-SA"/>
              </w:rPr>
              <w:t>分）</w:t>
            </w:r>
          </w:p>
        </w:tc>
        <w:tc>
          <w:tcPr>
            <w:tcW w:w="7759" w:type="dxa"/>
            <w:gridSpan w:val="2"/>
            <w:noWrap w:val="0"/>
            <w:vAlign w:val="center"/>
          </w:tcPr>
          <w:p>
            <w:pPr>
              <w:keepLines w:val="0"/>
              <w:pageBreakBefore w:val="0"/>
              <w:widowControl/>
              <w:wordWrap/>
              <w:overflowPunct/>
              <w:topLinePunct w:val="0"/>
              <w:autoSpaceDE/>
              <w:autoSpaceDN/>
              <w:bidi w:val="0"/>
              <w:adjustRightInd/>
              <w:snapToGrid w:val="0"/>
              <w:spacing w:before="0" w:line="560" w:lineRule="exact"/>
              <w:ind w:left="0" w:leftChars="0" w:firstLine="0" w:firstLineChars="0"/>
              <w:outlineLvl w:val="9"/>
              <w:rPr>
                <w:rFonts w:hint="default" w:ascii="Times New Roman" w:hAnsi="Times New Roman" w:eastAsia="仿宋_GB2312" w:cs="Times New Roman"/>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商务部分：</w:t>
            </w:r>
            <w:r>
              <w:rPr>
                <w:rFonts w:hint="default" w:ascii="Times New Roman" w:hAnsi="Times New Roman" w:eastAsia="仿宋_GB2312" w:cs="Times New Roman"/>
                <w:color w:val="000000"/>
                <w:kern w:val="0"/>
                <w:sz w:val="32"/>
                <w:szCs w:val="32"/>
                <w:lang w:val="en-US" w:eastAsia="zh-CN" w:bidi="ar-SA"/>
              </w:rPr>
              <w:t>30分</w:t>
            </w:r>
          </w:p>
          <w:p>
            <w:pPr>
              <w:keepLines w:val="0"/>
              <w:pageBreakBefore w:val="0"/>
              <w:widowControl/>
              <w:wordWrap/>
              <w:overflowPunct/>
              <w:topLinePunct w:val="0"/>
              <w:autoSpaceDE/>
              <w:autoSpaceDN/>
              <w:bidi w:val="0"/>
              <w:adjustRightInd/>
              <w:snapToGrid w:val="0"/>
              <w:spacing w:before="0" w:line="560" w:lineRule="exact"/>
              <w:ind w:left="0" w:leftChars="0" w:firstLine="0" w:firstLineChars="0"/>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技术部分：60分</w:t>
            </w:r>
          </w:p>
          <w:p>
            <w:pPr>
              <w:keepLines w:val="0"/>
              <w:pageBreakBefore w:val="0"/>
              <w:widowControl/>
              <w:wordWrap/>
              <w:overflowPunct/>
              <w:topLinePunct w:val="0"/>
              <w:autoSpaceDE/>
              <w:autoSpaceDN/>
              <w:bidi w:val="0"/>
              <w:adjustRightInd/>
              <w:snapToGrid w:val="0"/>
              <w:spacing w:before="0" w:line="560" w:lineRule="exact"/>
              <w:ind w:left="0" w:leftChars="0" w:firstLine="0" w:firstLineChars="0"/>
              <w:outlineLvl w:val="9"/>
              <w:rPr>
                <w:rFonts w:hint="eastAsia" w:ascii="仿宋_GB2312" w:hAnsi="仿宋_GB2312" w:eastAsia="仿宋_GB2312" w:cs="仿宋_GB2312"/>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报价部分：10分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分值构成</w:t>
            </w:r>
          </w:p>
        </w:tc>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评分</w:t>
            </w:r>
            <w:r>
              <w:rPr>
                <w:rFonts w:hint="eastAsia" w:ascii="仿宋_GB2312" w:hAnsi="仿宋_GB2312" w:eastAsia="仿宋_GB2312" w:cs="仿宋_GB2312"/>
                <w:b/>
                <w:bCs/>
                <w:sz w:val="32"/>
                <w:szCs w:val="32"/>
                <w:lang w:eastAsia="zh-CN"/>
              </w:rPr>
              <w:t>因素</w:t>
            </w:r>
          </w:p>
        </w:tc>
        <w:tc>
          <w:tcPr>
            <w:tcW w:w="5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评分标准</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商务部分</w:t>
            </w:r>
          </w:p>
        </w:tc>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napToGrid w:val="0"/>
                <w:sz w:val="32"/>
                <w:szCs w:val="32"/>
                <w:lang w:eastAsia="zh-CN"/>
              </w:rPr>
            </w:pPr>
            <w:r>
              <w:rPr>
                <w:rFonts w:hint="eastAsia" w:ascii="仿宋_GB2312" w:hAnsi="仿宋_GB2312" w:eastAsia="仿宋_GB2312" w:cs="仿宋_GB2312"/>
                <w:snapToGrid w:val="0"/>
                <w:sz w:val="32"/>
                <w:szCs w:val="32"/>
                <w:lang w:eastAsia="zh-CN"/>
              </w:rPr>
              <w:t>综合偿付能力充足率</w:t>
            </w:r>
          </w:p>
        </w:tc>
        <w:tc>
          <w:tcPr>
            <w:tcW w:w="5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i w:val="0"/>
                <w:iCs w:val="0"/>
                <w:color w:val="auto"/>
                <w:kern w:val="2"/>
                <w:sz w:val="32"/>
                <w:szCs w:val="32"/>
                <w:u w:val="none"/>
                <w:lang w:val="en-US" w:eastAsia="zh-CN" w:bidi="ar-SA"/>
              </w:rPr>
              <w:t>根据供应商总公司的</w:t>
            </w:r>
            <w:r>
              <w:rPr>
                <w:rFonts w:hint="default" w:ascii="Times New Roman" w:hAnsi="Times New Roman" w:eastAsia="仿宋_GB2312" w:cs="Times New Roman"/>
                <w:i w:val="0"/>
                <w:iCs w:val="0"/>
                <w:color w:val="auto"/>
                <w:kern w:val="2"/>
                <w:sz w:val="32"/>
                <w:szCs w:val="32"/>
                <w:u w:val="none"/>
                <w:lang w:val="en-US" w:eastAsia="zh-CN" w:bidi="ar-SA"/>
              </w:rPr>
              <w:t>2024年度综合偿付能力充足率进行评审：</w:t>
            </w:r>
            <w:r>
              <w:rPr>
                <w:rFonts w:hint="default" w:ascii="Times New Roman" w:hAnsi="Times New Roman" w:eastAsia="仿宋_GB2312" w:cs="Times New Roman"/>
                <w:i w:val="0"/>
                <w:iCs w:val="0"/>
                <w:color w:val="auto"/>
                <w:kern w:val="2"/>
                <w:sz w:val="32"/>
                <w:szCs w:val="32"/>
                <w:u w:val="none"/>
                <w:lang w:val="en-US" w:eastAsia="zh-CN" w:bidi="ar-SA"/>
              </w:rPr>
              <w:br w:type="textWrapping"/>
            </w:r>
            <w:r>
              <w:rPr>
                <w:rFonts w:hint="default" w:ascii="Times New Roman" w:hAnsi="Times New Roman" w:eastAsia="仿宋_GB2312" w:cs="Times New Roman"/>
                <w:i w:val="0"/>
                <w:iCs w:val="0"/>
                <w:color w:val="auto"/>
                <w:kern w:val="2"/>
                <w:sz w:val="32"/>
                <w:szCs w:val="32"/>
                <w:u w:val="none"/>
                <w:lang w:val="en-US" w:eastAsia="zh-CN" w:bidi="ar-SA"/>
              </w:rPr>
              <w:t>综合偿付能力充足率≥200%，得10分；</w:t>
            </w:r>
            <w:r>
              <w:rPr>
                <w:rFonts w:hint="default" w:ascii="Times New Roman" w:hAnsi="Times New Roman" w:eastAsia="仿宋_GB2312" w:cs="Times New Roman"/>
                <w:i w:val="0"/>
                <w:iCs w:val="0"/>
                <w:color w:val="auto"/>
                <w:kern w:val="2"/>
                <w:sz w:val="32"/>
                <w:szCs w:val="32"/>
                <w:u w:val="none"/>
                <w:lang w:val="en-US" w:eastAsia="zh-CN" w:bidi="ar-SA"/>
              </w:rPr>
              <w:br w:type="textWrapping"/>
            </w:r>
            <w:r>
              <w:rPr>
                <w:rFonts w:hint="default" w:ascii="Times New Roman" w:hAnsi="Times New Roman" w:eastAsia="仿宋_GB2312" w:cs="Times New Roman"/>
                <w:i w:val="0"/>
                <w:iCs w:val="0"/>
                <w:color w:val="auto"/>
                <w:kern w:val="2"/>
                <w:sz w:val="32"/>
                <w:szCs w:val="32"/>
                <w:u w:val="none"/>
                <w:lang w:val="en-US" w:eastAsia="zh-CN" w:bidi="ar-SA"/>
              </w:rPr>
              <w:t>200%＞综合偿付能力充足率≥180%，得8分；180%＞综合偿付能力充足率≥150%，得6分；150%＞综合偿付能力充足率≥120%，得4分；120%＞综合偿付能力充足率≥100%，得2分；100%＞综合偿付能力充足率，不得分。</w:t>
            </w:r>
            <w:r>
              <w:rPr>
                <w:rFonts w:hint="default" w:ascii="Times New Roman" w:hAnsi="Times New Roman" w:eastAsia="仿宋_GB2312" w:cs="Times New Roman"/>
                <w:i w:val="0"/>
                <w:iCs w:val="0"/>
                <w:color w:val="auto"/>
                <w:kern w:val="2"/>
                <w:sz w:val="32"/>
                <w:szCs w:val="32"/>
                <w:u w:val="none"/>
                <w:lang w:val="en-US" w:eastAsia="zh-CN" w:bidi="ar-SA"/>
              </w:rPr>
              <w:br w:type="textWrapping"/>
            </w:r>
            <w:r>
              <w:rPr>
                <w:rFonts w:hint="default" w:ascii="Times New Roman" w:hAnsi="Times New Roman" w:eastAsia="仿宋_GB2312" w:cs="Times New Roman"/>
                <w:i w:val="0"/>
                <w:iCs w:val="0"/>
                <w:color w:val="auto"/>
                <w:kern w:val="2"/>
                <w:sz w:val="32"/>
                <w:szCs w:val="32"/>
                <w:u w:val="none"/>
                <w:lang w:val="en-US" w:eastAsia="zh-CN" w:bidi="ar-SA"/>
              </w:rPr>
              <w:t>注：须提供2024年度经外部第三方审计的偿付能力报告扫描件，不提供不得分。</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sz w:val="32"/>
                <w:szCs w:val="32"/>
              </w:rPr>
            </w:pPr>
          </w:p>
        </w:tc>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风险综合评级结果</w:t>
            </w:r>
          </w:p>
        </w:tc>
        <w:tc>
          <w:tcPr>
            <w:tcW w:w="5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i w:val="0"/>
                <w:iCs w:val="0"/>
                <w:color w:val="auto"/>
                <w:kern w:val="2"/>
                <w:sz w:val="32"/>
                <w:szCs w:val="32"/>
                <w:u w:val="none"/>
                <w:lang w:val="en-US" w:eastAsia="zh-CN" w:bidi="ar-SA"/>
              </w:rPr>
              <w:t>供应商</w:t>
            </w:r>
            <w:r>
              <w:rPr>
                <w:rFonts w:hint="default" w:ascii="Times New Roman" w:hAnsi="Times New Roman" w:eastAsia="仿宋_GB2312" w:cs="Times New Roman"/>
                <w:sz w:val="32"/>
                <w:szCs w:val="32"/>
                <w:highlight w:val="none"/>
              </w:rPr>
              <w:t>或所属总公司2024年度财产险公司风险综合评级结果：</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A级得10分；B级得6分；C级得3分；</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D级得0分。</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注：提供保险监管部门对</w:t>
            </w:r>
            <w:r>
              <w:rPr>
                <w:rFonts w:hint="default" w:ascii="Times New Roman" w:hAnsi="Times New Roman" w:eastAsia="仿宋_GB2312" w:cs="Times New Roman"/>
                <w:i w:val="0"/>
                <w:iCs w:val="0"/>
                <w:color w:val="auto"/>
                <w:kern w:val="2"/>
                <w:sz w:val="32"/>
                <w:szCs w:val="32"/>
                <w:u w:val="none"/>
                <w:lang w:val="en-US" w:eastAsia="zh-CN" w:bidi="ar-SA"/>
              </w:rPr>
              <w:t>供应商</w:t>
            </w:r>
            <w:r>
              <w:rPr>
                <w:rFonts w:hint="default" w:ascii="Times New Roman" w:hAnsi="Times New Roman" w:eastAsia="仿宋_GB2312" w:cs="Times New Roman"/>
                <w:sz w:val="32"/>
                <w:szCs w:val="32"/>
                <w:highlight w:val="none"/>
              </w:rPr>
              <w:t>总公司分类监管结果的通知文件复印件或保险监管部门偿二代监管信息系统发布信息页面截图作为证明材料，加盖投标人公章，不提供不得分。</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sz w:val="32"/>
                <w:szCs w:val="32"/>
              </w:rPr>
            </w:pPr>
          </w:p>
        </w:tc>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保险消费投诉量情况</w:t>
            </w:r>
          </w:p>
        </w:tc>
        <w:tc>
          <w:tcPr>
            <w:tcW w:w="5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iCs w:val="0"/>
                <w:color w:val="auto"/>
                <w:kern w:val="2"/>
                <w:sz w:val="32"/>
                <w:szCs w:val="32"/>
                <w:u w:val="none"/>
                <w:lang w:val="en-US" w:eastAsia="zh-CN" w:bidi="ar-SA"/>
              </w:rPr>
              <w:t>供应商</w:t>
            </w:r>
            <w:r>
              <w:rPr>
                <w:rFonts w:hint="default" w:ascii="Times New Roman" w:hAnsi="Times New Roman" w:eastAsia="仿宋_GB2312" w:cs="Times New Roman"/>
                <w:sz w:val="32"/>
                <w:szCs w:val="32"/>
                <w:lang w:val="en-US" w:eastAsia="zh-CN"/>
              </w:rPr>
              <w:t>总公司2024年度亿元保费投诉量（件/亿元）：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投诉量≤0.3件/亿元，得10分；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0.3件/亿元＜投诉量≤0.6件/亿元，得8分；0.6件/亿元＜投诉量≤0.9件/亿元，得6分；0.9件/亿元＜投诉量≤1.2件/亿元，得4分；1.2件/亿元＜投诉量≤1.5件/亿元，得2分；投诉量＞1.5件/亿元，不得分；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注：数据以国家金融监督管理总局金融消保局发布《关于2024年保险业消费投诉情况的监管通报》(金消保发〔2025〕2号)为准。需提供《2024年保险业消费投诉情况统计表（财产保险公司）》完整表格，不提供不得分。</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技术部分</w:t>
            </w:r>
          </w:p>
        </w:tc>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项目承保方案</w:t>
            </w:r>
          </w:p>
        </w:tc>
        <w:tc>
          <w:tcPr>
            <w:tcW w:w="5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i w:val="0"/>
                <w:iCs w:val="0"/>
                <w:color w:val="auto"/>
                <w:kern w:val="2"/>
                <w:sz w:val="32"/>
                <w:szCs w:val="32"/>
                <w:u w:val="none"/>
                <w:lang w:val="en-US" w:eastAsia="zh-CN" w:bidi="ar-SA"/>
              </w:rPr>
              <w:t>供应商</w:t>
            </w:r>
            <w:r>
              <w:rPr>
                <w:rFonts w:hint="default" w:ascii="Times New Roman" w:hAnsi="Times New Roman" w:eastAsia="仿宋_GB2312" w:cs="Times New Roman"/>
                <w:sz w:val="32"/>
                <w:szCs w:val="32"/>
                <w:lang w:val="en-US" w:eastAsia="zh-CN"/>
              </w:rPr>
              <w:t>提供的承保方案进行综合评比：</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方案保费清晰合理、提供全面完善的保障内容并且提供对应保障条款的得10分；未提供方案或提供方案不完全满足的不得分。</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32"/>
                <w:szCs w:val="32"/>
              </w:rPr>
            </w:pPr>
          </w:p>
        </w:tc>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风险管理服务方案</w:t>
            </w:r>
          </w:p>
        </w:tc>
        <w:tc>
          <w:tcPr>
            <w:tcW w:w="5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iCs w:val="0"/>
                <w:color w:val="auto"/>
                <w:kern w:val="2"/>
                <w:sz w:val="32"/>
                <w:szCs w:val="32"/>
                <w:u w:val="none"/>
                <w:lang w:val="en-US" w:eastAsia="zh-CN" w:bidi="ar-SA"/>
              </w:rPr>
              <w:t>对供应商提供的风险管理服务实施方案，从风险管理服务的方法手段、风险管理服务投入设备进行综合评比：</w:t>
            </w:r>
            <w:r>
              <w:rPr>
                <w:rFonts w:hint="default" w:ascii="Times New Roman" w:hAnsi="Times New Roman" w:eastAsia="仿宋_GB2312" w:cs="Times New Roman"/>
                <w:i w:val="0"/>
                <w:iCs w:val="0"/>
                <w:color w:val="auto"/>
                <w:kern w:val="2"/>
                <w:sz w:val="32"/>
                <w:szCs w:val="32"/>
                <w:u w:val="none"/>
                <w:lang w:val="en-US" w:eastAsia="zh-CN" w:bidi="ar-SA"/>
              </w:rPr>
              <w:br w:type="textWrapping"/>
            </w:r>
            <w:r>
              <w:rPr>
                <w:rFonts w:hint="default" w:ascii="Times New Roman" w:hAnsi="Times New Roman" w:eastAsia="仿宋_GB2312" w:cs="Times New Roman"/>
                <w:i w:val="0"/>
                <w:iCs w:val="0"/>
                <w:color w:val="auto"/>
                <w:kern w:val="2"/>
                <w:sz w:val="32"/>
                <w:szCs w:val="32"/>
                <w:u w:val="none"/>
                <w:lang w:val="en-US" w:eastAsia="zh-CN" w:bidi="ar-SA"/>
              </w:rPr>
              <w:t>方案内容完善、方法手段可行性强，设备齐全的得10分；方案内容基本完整、方法手段可行性差，设备不齐全般的得5分；未提供方案或方案内容基本完整、可行性差，流程不清晰、可能给项目开展造成影响的不得分。</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32"/>
                <w:szCs w:val="32"/>
              </w:rPr>
            </w:pPr>
          </w:p>
        </w:tc>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理赔服务方案</w:t>
            </w:r>
          </w:p>
        </w:tc>
        <w:tc>
          <w:tcPr>
            <w:tcW w:w="5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i w:val="0"/>
                <w:iCs w:val="0"/>
                <w:color w:val="auto"/>
                <w:kern w:val="2"/>
                <w:sz w:val="32"/>
                <w:szCs w:val="32"/>
                <w:u w:val="none"/>
                <w:lang w:val="en-US" w:eastAsia="zh-CN" w:bidi="ar-SA"/>
              </w:rPr>
            </w:pPr>
            <w:r>
              <w:rPr>
                <w:rFonts w:hint="default" w:ascii="Times New Roman" w:hAnsi="Times New Roman" w:eastAsia="仿宋_GB2312" w:cs="Times New Roman"/>
                <w:i w:val="0"/>
                <w:iCs w:val="0"/>
                <w:color w:val="auto"/>
                <w:kern w:val="2"/>
                <w:sz w:val="32"/>
                <w:szCs w:val="32"/>
                <w:u w:val="none"/>
                <w:lang w:val="en-US" w:eastAsia="zh-CN" w:bidi="ar-SA"/>
              </w:rPr>
              <w:t>对供应商提供的理赔服务方案进行综合评比：</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i w:val="0"/>
                <w:iCs w:val="0"/>
                <w:color w:val="auto"/>
                <w:kern w:val="2"/>
                <w:sz w:val="32"/>
                <w:szCs w:val="32"/>
                <w:u w:val="none"/>
                <w:lang w:val="en-US" w:eastAsia="zh-CN" w:bidi="ar-SA"/>
              </w:rPr>
            </w:pPr>
            <w:r>
              <w:rPr>
                <w:rFonts w:hint="default" w:ascii="Times New Roman" w:hAnsi="Times New Roman" w:eastAsia="仿宋_GB2312" w:cs="Times New Roman"/>
                <w:i w:val="0"/>
                <w:iCs w:val="0"/>
                <w:color w:val="auto"/>
                <w:kern w:val="2"/>
                <w:sz w:val="32"/>
                <w:szCs w:val="32"/>
                <w:u w:val="none"/>
                <w:lang w:val="en-US" w:eastAsia="zh-CN" w:bidi="ar-SA"/>
              </w:rPr>
              <w:t>理赔流程简捷方便，理赔时效快得10分；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i w:val="0"/>
                <w:iCs w:val="0"/>
                <w:color w:val="auto"/>
                <w:kern w:val="2"/>
                <w:sz w:val="32"/>
                <w:szCs w:val="32"/>
                <w:u w:val="none"/>
                <w:lang w:val="en-US" w:eastAsia="zh-CN" w:bidi="ar-SA"/>
              </w:rPr>
            </w:pPr>
            <w:r>
              <w:rPr>
                <w:rFonts w:hint="default" w:ascii="Times New Roman" w:hAnsi="Times New Roman" w:eastAsia="仿宋_GB2312" w:cs="Times New Roman"/>
                <w:i w:val="0"/>
                <w:iCs w:val="0"/>
                <w:color w:val="auto"/>
                <w:kern w:val="2"/>
                <w:sz w:val="32"/>
                <w:szCs w:val="32"/>
                <w:u w:val="none"/>
                <w:lang w:val="en-US" w:eastAsia="zh-CN" w:bidi="ar-SA"/>
              </w:rPr>
              <w:t>理赔流程一般方便，理赔时效一般得5分；未提供任何方案的不得分。</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32"/>
                <w:szCs w:val="32"/>
              </w:rPr>
            </w:pPr>
          </w:p>
        </w:tc>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项目服务经验</w:t>
            </w:r>
          </w:p>
        </w:tc>
        <w:tc>
          <w:tcPr>
            <w:tcW w:w="5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i w:val="0"/>
                <w:iCs w:val="0"/>
                <w:color w:val="auto"/>
                <w:kern w:val="2"/>
                <w:sz w:val="32"/>
                <w:szCs w:val="32"/>
                <w:u w:val="none"/>
                <w:lang w:val="en-US" w:eastAsia="zh-CN" w:bidi="ar-SA"/>
              </w:rPr>
            </w:pPr>
            <w:r>
              <w:rPr>
                <w:rFonts w:hint="default" w:ascii="Times New Roman" w:hAnsi="Times New Roman" w:eastAsia="仿宋_GB2312" w:cs="Times New Roman"/>
                <w:i w:val="0"/>
                <w:iCs w:val="0"/>
                <w:color w:val="auto"/>
                <w:kern w:val="2"/>
                <w:sz w:val="32"/>
                <w:szCs w:val="32"/>
                <w:u w:val="none"/>
                <w:lang w:val="en-US" w:eastAsia="zh-CN" w:bidi="ar-SA"/>
              </w:rPr>
              <w:t>2025年8月1日（以合同签订日期为准）起至本项目招标公告发布日止，供应商具有“房莞家”房屋保险承保经验的，提供保险单的，得10分；未提供或提供无效的，不得分。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i w:val="0"/>
                <w:iCs w:val="0"/>
                <w:color w:val="auto"/>
                <w:kern w:val="2"/>
                <w:sz w:val="32"/>
                <w:szCs w:val="32"/>
                <w:u w:val="none"/>
                <w:lang w:val="en-US" w:eastAsia="zh-CN" w:bidi="ar-SA"/>
              </w:rPr>
            </w:pPr>
            <w:r>
              <w:rPr>
                <w:rFonts w:hint="default" w:ascii="Times New Roman" w:hAnsi="Times New Roman" w:eastAsia="仿宋_GB2312" w:cs="Times New Roman"/>
                <w:i w:val="0"/>
                <w:iCs w:val="0"/>
                <w:color w:val="auto"/>
                <w:kern w:val="2"/>
                <w:sz w:val="32"/>
                <w:szCs w:val="32"/>
                <w:u w:val="none"/>
                <w:lang w:val="en-US" w:eastAsia="zh-CN" w:bidi="ar-SA"/>
              </w:rPr>
              <w:t>注：提供保险单需加盖公章。</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32"/>
                <w:szCs w:val="32"/>
              </w:rPr>
            </w:pPr>
          </w:p>
        </w:tc>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宣传服务经验</w:t>
            </w:r>
          </w:p>
        </w:tc>
        <w:tc>
          <w:tcPr>
            <w:tcW w:w="5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i w:val="0"/>
                <w:iCs w:val="0"/>
                <w:color w:val="auto"/>
                <w:kern w:val="2"/>
                <w:sz w:val="32"/>
                <w:szCs w:val="32"/>
                <w:u w:val="none"/>
                <w:lang w:val="en-US" w:eastAsia="zh-CN" w:bidi="ar-SA"/>
              </w:rPr>
            </w:pPr>
            <w:r>
              <w:rPr>
                <w:rFonts w:hint="default" w:ascii="Times New Roman" w:hAnsi="Times New Roman" w:eastAsia="仿宋_GB2312" w:cs="Times New Roman"/>
                <w:i w:val="0"/>
                <w:iCs w:val="0"/>
                <w:color w:val="auto"/>
                <w:kern w:val="2"/>
                <w:sz w:val="32"/>
                <w:szCs w:val="32"/>
                <w:u w:val="none"/>
                <w:lang w:val="en-US" w:eastAsia="zh-CN" w:bidi="ar-SA"/>
              </w:rPr>
              <w:t>供应商有协助东莞市住房和城乡建设局或东莞市物业管理行业协会举办相关“房莞家”活动等宣传服务经验得10分。须提供相关证明材料（宣传稿、新闻），未提供不得分。</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32"/>
                <w:szCs w:val="32"/>
              </w:rPr>
            </w:pPr>
          </w:p>
        </w:tc>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lang w:val="en-US" w:eastAsia="zh-CN"/>
              </w:rPr>
              <w:t>投入</w:t>
            </w:r>
          </w:p>
        </w:tc>
        <w:tc>
          <w:tcPr>
            <w:tcW w:w="5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i w:val="0"/>
                <w:iCs w:val="0"/>
                <w:color w:val="auto"/>
                <w:kern w:val="2"/>
                <w:sz w:val="32"/>
                <w:szCs w:val="32"/>
                <w:u w:val="none"/>
                <w:lang w:val="en-US" w:eastAsia="zh-CN" w:bidi="ar-SA"/>
              </w:rPr>
            </w:pPr>
            <w:r>
              <w:rPr>
                <w:rFonts w:hint="default" w:ascii="Times New Roman" w:hAnsi="Times New Roman" w:eastAsia="仿宋_GB2312" w:cs="Times New Roman"/>
                <w:i w:val="0"/>
                <w:iCs w:val="0"/>
                <w:color w:val="auto"/>
                <w:kern w:val="2"/>
                <w:sz w:val="32"/>
                <w:szCs w:val="32"/>
                <w:u w:val="none"/>
                <w:lang w:val="en-US" w:eastAsia="zh-CN" w:bidi="ar-SA"/>
              </w:rPr>
              <w:t>投标人拟投入本项目服务团队人员数量达到10（含）人以上得10分，少于10人或未配备专业人员或未按要求提供证明不得分。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i w:val="0"/>
                <w:iCs w:val="0"/>
                <w:color w:val="auto"/>
                <w:kern w:val="2"/>
                <w:sz w:val="32"/>
                <w:szCs w:val="32"/>
                <w:u w:val="none"/>
                <w:lang w:val="en-US" w:eastAsia="zh-CN" w:bidi="ar-SA"/>
              </w:rPr>
            </w:pPr>
            <w:r>
              <w:rPr>
                <w:rFonts w:hint="default" w:ascii="Times New Roman" w:hAnsi="Times New Roman" w:eastAsia="仿宋_GB2312" w:cs="Times New Roman"/>
                <w:i w:val="0"/>
                <w:iCs w:val="0"/>
                <w:color w:val="auto"/>
                <w:kern w:val="2"/>
                <w:sz w:val="32"/>
                <w:szCs w:val="32"/>
                <w:u w:val="none"/>
                <w:lang w:val="en-US" w:eastAsia="zh-CN" w:bidi="ar-SA"/>
              </w:rPr>
              <w:t>注：同时提供①投入本项目的团队人员名单②投标人（或总公司或全国分支机构）为其购买的开标前六个月内任意一个月的社保证明扫描件或复印件作为证明材料，加盖投标人公章。</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报价部分</w:t>
            </w:r>
          </w:p>
        </w:tc>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价格</w:t>
            </w:r>
          </w:p>
        </w:tc>
        <w:tc>
          <w:tcPr>
            <w:tcW w:w="5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报价得分＝（基准价/报价）×价格分值【注：满足</w:t>
            </w:r>
            <w:r>
              <w:rPr>
                <w:rFonts w:hint="default"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eastAsia="zh-CN"/>
              </w:rPr>
              <w:t>要求且</w:t>
            </w:r>
            <w:r>
              <w:rPr>
                <w:rFonts w:hint="default" w:ascii="Times New Roman" w:hAnsi="Times New Roman" w:eastAsia="仿宋_GB2312" w:cs="Times New Roman"/>
                <w:sz w:val="32"/>
                <w:szCs w:val="32"/>
                <w:lang w:val="en-US" w:eastAsia="zh-CN"/>
              </w:rPr>
              <w:t>报价</w:t>
            </w:r>
            <w:r>
              <w:rPr>
                <w:rFonts w:hint="default" w:ascii="Times New Roman" w:hAnsi="Times New Roman" w:eastAsia="仿宋_GB2312" w:cs="Times New Roman"/>
                <w:sz w:val="32"/>
                <w:szCs w:val="32"/>
                <w:lang w:eastAsia="zh-CN"/>
              </w:rPr>
              <w:t>最低的报价为基准价。】最低报价不是中标的唯一依据。因落实政府采购政策进行价格调整的，以调整后的价格计算基准价和报价。</w:t>
            </w:r>
          </w:p>
        </w:tc>
        <w:tc>
          <w:tcPr>
            <w:tcW w:w="201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w:t>
            </w:r>
          </w:p>
        </w:tc>
      </w:tr>
    </w:tbl>
    <w:p>
      <w:pPr>
        <w:rPr>
          <w:rFonts w:hint="eastAsia" w:ascii="仿宋_GB2312" w:hAnsi="仿宋_GB2312" w:eastAsia="仿宋_GB2312" w:cs="仿宋_GB231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F15A8"/>
    <w:rsid w:val="42F66C3C"/>
    <w:rsid w:val="791F1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480" w:hanging="480" w:hangingChars="200"/>
    </w:pPr>
    <w:rPr>
      <w:sz w:val="24"/>
    </w:rPr>
  </w:style>
  <w:style w:type="paragraph" w:customStyle="1" w:styleId="5">
    <w:name w:val="Default"/>
    <w:qFormat/>
    <w:uiPriority w:val="0"/>
    <w:pPr>
      <w:widowControl w:val="0"/>
      <w:autoSpaceDE w:val="0"/>
      <w:autoSpaceDN w:val="0"/>
      <w:adjustRightInd w:val="0"/>
    </w:pPr>
    <w:rPr>
      <w:rFonts w:ascii="仿宋"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2026-03-30T02:27:00Z</dcterms:created>
  <dc:creator>韩墨</dc:creator>
  <cp:lastModifiedBy>韩墨</cp:lastModifiedBy>
  <dcterms:modified xsi:type="dcterms:W3CDTF">2026-03-30T06:09:48Z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9F5717F029BC4BFE9A650FE21CD02D87</vt:lpwstr>
  </property>
</Properties>
</file>