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ordWrap/>
        <w:overflowPunct/>
        <w:topLinePunct w:val="0"/>
        <w:autoSpaceDN/>
        <w:bidi w:val="0"/>
        <w:spacing w:line="440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附件1</w:t>
      </w:r>
    </w:p>
    <w:p>
      <w:pPr>
        <w:pStyle w:val="4"/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lang w:val="zh-CN" w:eastAsia="zh-CN"/>
        </w:rPr>
      </w:pPr>
      <w:r>
        <w:rPr>
          <w:rFonts w:hint="eastAsia" w:ascii="Times New Roman" w:hAnsi="Times New Roman" w:eastAsia="方正小标宋简体" w:cs="Times New Roman"/>
          <w:sz w:val="44"/>
          <w:lang w:val="zh-CN" w:eastAsia="zh-CN"/>
        </w:rPr>
        <w:t>报价表</w:t>
      </w:r>
    </w:p>
    <w:p>
      <w:pPr>
        <w:pStyle w:val="4"/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lang w:val="en-US" w:eastAsia="zh-CN"/>
        </w:rPr>
      </w:pPr>
    </w:p>
    <w:tbl>
      <w:tblPr>
        <w:tblStyle w:val="2"/>
        <w:tblW w:w="87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68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autoSpaceDN/>
              <w:bidi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autoSpaceDN/>
              <w:bidi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bookmarkStart w:id="0" w:name="OLE_LINK2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‌雅园新村公租房小区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莞家房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房屋综合险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项目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autoSpaceDN/>
              <w:bidi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供应商名称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autoSpaceDN/>
              <w:bidi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autoSpaceDN/>
              <w:bidi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报价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autoSpaceDN/>
              <w:bidi w:val="0"/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大写：          </w:t>
            </w:r>
          </w:p>
          <w:p>
            <w:pPr>
              <w:keepLines w:val="0"/>
              <w:pageBreakBefore w:val="0"/>
              <w:wordWrap/>
              <w:overflowPunct/>
              <w:topLinePunct w:val="0"/>
              <w:autoSpaceDN/>
              <w:bidi w:val="0"/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bookmarkStart w:id="1" w:name="_GoBack"/>
            <w:bookmarkEnd w:id="1"/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小写：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autoSpaceDN/>
              <w:bidi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服务期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ordWrap/>
              <w:overflowPunct/>
              <w:topLinePunct w:val="0"/>
              <w:autoSpaceDN/>
              <w:bidi w:val="0"/>
              <w:spacing w:line="44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1年。</w:t>
            </w:r>
          </w:p>
        </w:tc>
      </w:tr>
    </w:tbl>
    <w:p>
      <w:pPr>
        <w:keepLines w:val="0"/>
        <w:pageBreakBefore w:val="0"/>
        <w:wordWrap/>
        <w:overflowPunct/>
        <w:topLinePunct w:val="0"/>
        <w:autoSpaceDN/>
        <w:bidi w:val="0"/>
        <w:spacing w:line="440" w:lineRule="exact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说明：</w:t>
      </w:r>
    </w:p>
    <w:p>
      <w:pPr>
        <w:pStyle w:val="4"/>
        <w:ind w:firstLine="720" w:firstLineChars="225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本次采购采用项目总价方式进行报价，报价应保留小数点后两位，否则视为无效响应。</w:t>
      </w:r>
    </w:p>
    <w:p>
      <w:pPr>
        <w:pStyle w:val="4"/>
        <w:ind w:firstLine="720" w:firstLineChars="225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本报价表是项目需求书确定服务范围内的全部服务内容的价格体现，报价应包含项目投入的各项费用及合同实施过程中不可预见费用等。</w:t>
      </w:r>
    </w:p>
    <w:p>
      <w:pPr>
        <w:pStyle w:val="4"/>
        <w:ind w:firstLine="720" w:firstLineChars="225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如响应供应商报价超过最高单价限价的，其响应文件作无效标处理。</w:t>
      </w:r>
    </w:p>
    <w:p>
      <w:pPr>
        <w:pStyle w:val="4"/>
        <w:ind w:firstLine="720" w:firstLineChars="225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不提供此表格将被视为没有实质性响应，其响应文件将被拒绝。</w:t>
      </w:r>
    </w:p>
    <w:p>
      <w:pPr>
        <w:keepLines w:val="0"/>
        <w:pageBreakBefore w:val="0"/>
        <w:wordWrap/>
        <w:overflowPunct/>
        <w:topLinePunct w:val="0"/>
        <w:autoSpaceDN/>
        <w:bidi w:val="0"/>
        <w:spacing w:line="440" w:lineRule="exact"/>
        <w:jc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ind w:firstLine="720" w:firstLineChars="225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供应商全称（盖章）：</w:t>
      </w:r>
    </w:p>
    <w:p>
      <w:pPr>
        <w:pStyle w:val="4"/>
        <w:ind w:firstLine="720" w:firstLineChars="225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供应商代表（签字）：</w:t>
      </w:r>
    </w:p>
    <w:p>
      <w:pPr>
        <w:pStyle w:val="4"/>
        <w:ind w:firstLine="720" w:firstLineChars="225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日    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506AC"/>
    <w:rsid w:val="1A1D1400"/>
    <w:rsid w:val="48EC38E1"/>
    <w:rsid w:val="525506AC"/>
    <w:rsid w:val="79E0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2026-03-30T02:24:00Z</dcterms:created>
  <dc:creator>韩墨</dc:creator>
  <cp:lastModifiedBy>韩墨</cp:lastModifiedBy>
  <dcterms:modified xsi:type="dcterms:W3CDTF">2026-03-30T06:10:06Z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63281A883B644469AA493044728CAB05</vt:lpwstr>
  </property>
</Properties>
</file>