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both"/>
        <w:rPr>
          <w:rFonts w:hint="eastAsia" w:ascii="仿宋_GB2312" w:hAnsi="仿宋_GB2312" w:eastAsia="仿宋_GB2312" w:cs="仿宋_GB2312"/>
          <w:b w:val="0"/>
          <w:bCs w:val="0"/>
          <w:sz w:val="32"/>
          <w:szCs w:val="32"/>
          <w:lang w:val="en-US" w:eastAsia="zh-CN"/>
        </w:rPr>
      </w:pPr>
      <w:bookmarkStart w:id="0" w:name="_GoBack"/>
      <w:bookmarkEnd w:id="0"/>
      <w:r>
        <w:rPr>
          <w:rFonts w:hint="eastAsia" w:ascii="仿宋_GB2312" w:hAnsi="仿宋_GB2312" w:eastAsia="仿宋_GB2312" w:cs="仿宋_GB2312"/>
          <w:b w:val="0"/>
          <w:bCs w:val="0"/>
          <w:sz w:val="32"/>
          <w:szCs w:val="32"/>
          <w:lang w:val="en-US" w:eastAsia="zh-CN"/>
        </w:rPr>
        <w:t>附件3-2</w:t>
      </w:r>
    </w:p>
    <w:p>
      <w:pPr>
        <w:jc w:val="center"/>
        <w:rPr>
          <w:rFonts w:hint="eastAsia" w:ascii="方正小标宋简体" w:hAnsi="方正小标宋简体" w:eastAsia="方正小标宋简体" w:cs="方正小标宋简体"/>
          <w:b w:val="0"/>
          <w:bCs w:val="0"/>
          <w:sz w:val="44"/>
          <w:szCs w:val="52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b w:val="0"/>
          <w:bCs w:val="0"/>
          <w:sz w:val="44"/>
          <w:szCs w:val="52"/>
          <w:lang w:val="en-US" w:eastAsia="zh-CN"/>
        </w:rPr>
        <w:t>金悦花园项目资料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14010" cy="4503420"/>
            <wp:effectExtent l="0" t="0" r="15240" b="11430"/>
            <wp:docPr id="1" name="图片 1" descr="微信图片_20230720095747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230720095747"/>
                    <pic:cNvPicPr>
                      <a:picLocks noChangeAspect="true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14010" cy="4503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金悦花园位于东莞市茶山镇茶山南路3号，承接主城区及松山湖利好，拥揽多维立体交通畅达湾区各大城市，尽揽一江三园五景。</w:t>
      </w:r>
    </w:p>
    <w:p>
      <w:pPr>
        <w:rPr>
          <w:rFonts w:hint="eastAsia"/>
          <w:lang w:val="en-US" w:eastAsia="zh-CN"/>
        </w:rPr>
      </w:pP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【</w:t>
      </w:r>
      <w:r>
        <w:rPr>
          <w:rFonts w:hint="default"/>
          <w:lang w:val="en-US" w:eastAsia="zh-CN"/>
        </w:rPr>
        <w:t>项目基本信息</w:t>
      </w:r>
      <w:r>
        <w:rPr>
          <w:rFonts w:hint="eastAsia"/>
          <w:lang w:val="en-US" w:eastAsia="zh-CN"/>
        </w:rPr>
        <w:t>】</w:t>
      </w:r>
    </w:p>
    <w:p>
      <w:pPr>
        <w:numPr>
          <w:ilvl w:val="0"/>
          <w:numId w:val="1"/>
        </w:numPr>
        <w:ind w:left="420" w:leftChars="0" w:hanging="420" w:firstLine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项目地址</w:t>
      </w:r>
      <w:r>
        <w:rPr>
          <w:rFonts w:hint="eastAsia"/>
          <w:lang w:val="en-US" w:eastAsia="zh-CN"/>
        </w:rPr>
        <w:t>：</w:t>
      </w:r>
      <w:r>
        <w:rPr>
          <w:rFonts w:hint="default"/>
          <w:lang w:val="en-US" w:eastAsia="zh-CN"/>
        </w:rPr>
        <w:t>东莞市茶山镇茶山南路3号</w:t>
      </w:r>
    </w:p>
    <w:p>
      <w:pPr>
        <w:numPr>
          <w:ilvl w:val="0"/>
          <w:numId w:val="1"/>
        </w:numPr>
        <w:ind w:left="420" w:leftChars="0" w:hanging="420" w:firstLine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建筑面积</w:t>
      </w:r>
      <w:r>
        <w:rPr>
          <w:rFonts w:hint="eastAsia"/>
          <w:lang w:val="en-US" w:eastAsia="zh-CN"/>
        </w:rPr>
        <w:t>：</w:t>
      </w:r>
      <w:r>
        <w:rPr>
          <w:rFonts w:hint="default"/>
          <w:lang w:val="en-US" w:eastAsia="zh-CN"/>
        </w:rPr>
        <w:t>约22.9万</w:t>
      </w:r>
      <w:r>
        <w:rPr>
          <w:rFonts w:hint="eastAsia"/>
          <w:lang w:val="en-US" w:eastAsia="zh-CN"/>
        </w:rPr>
        <w:t>㎡</w:t>
      </w:r>
    </w:p>
    <w:p>
      <w:pPr>
        <w:numPr>
          <w:ilvl w:val="0"/>
          <w:numId w:val="1"/>
        </w:numPr>
        <w:ind w:left="420" w:leftChars="0" w:hanging="420" w:firstLine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容积率</w:t>
      </w:r>
      <w:r>
        <w:rPr>
          <w:rFonts w:hint="eastAsia"/>
          <w:lang w:val="en-US" w:eastAsia="zh-CN"/>
        </w:rPr>
        <w:t>：</w:t>
      </w:r>
      <w:r>
        <w:rPr>
          <w:rFonts w:hint="default"/>
          <w:lang w:val="en-US" w:eastAsia="zh-CN"/>
        </w:rPr>
        <w:t>2.48</w:t>
      </w:r>
    </w:p>
    <w:p>
      <w:pPr>
        <w:numPr>
          <w:ilvl w:val="0"/>
          <w:numId w:val="1"/>
        </w:numPr>
        <w:ind w:left="420" w:leftChars="0" w:hanging="420" w:firstLine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绿化率</w:t>
      </w:r>
      <w:r>
        <w:rPr>
          <w:rFonts w:hint="eastAsia"/>
          <w:lang w:val="en-US" w:eastAsia="zh-CN"/>
        </w:rPr>
        <w:t>：30</w:t>
      </w:r>
      <w:r>
        <w:rPr>
          <w:rFonts w:hint="default"/>
          <w:lang w:val="en-US" w:eastAsia="zh-CN"/>
        </w:rPr>
        <w:t>%</w:t>
      </w:r>
    </w:p>
    <w:p>
      <w:pPr>
        <w:numPr>
          <w:ilvl w:val="0"/>
          <w:numId w:val="1"/>
        </w:numPr>
        <w:ind w:left="420" w:leftChars="0" w:hanging="420" w:firstLine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项目组成</w:t>
      </w:r>
      <w:r>
        <w:rPr>
          <w:rFonts w:hint="eastAsia"/>
          <w:lang w:val="en-US" w:eastAsia="zh-CN"/>
        </w:rPr>
        <w:t>：</w:t>
      </w:r>
      <w:r>
        <w:rPr>
          <w:rFonts w:hint="default"/>
          <w:lang w:val="en-US" w:eastAsia="zh-CN"/>
        </w:rPr>
        <w:t>由</w:t>
      </w:r>
      <w:r>
        <w:rPr>
          <w:rFonts w:hint="eastAsia"/>
          <w:lang w:val="en-US" w:eastAsia="zh-CN"/>
        </w:rPr>
        <w:t>11</w:t>
      </w:r>
      <w:r>
        <w:rPr>
          <w:rFonts w:hint="default"/>
          <w:lang w:val="en-US" w:eastAsia="zh-CN"/>
        </w:rPr>
        <w:t>栋高层住宅</w:t>
      </w:r>
      <w:r>
        <w:rPr>
          <w:rFonts w:hint="eastAsia"/>
          <w:lang w:val="en-US" w:eastAsia="zh-CN"/>
        </w:rPr>
        <w:t>（其中3</w:t>
      </w:r>
      <w:r>
        <w:rPr>
          <w:rFonts w:hint="default"/>
          <w:lang w:val="en-US" w:eastAsia="zh-CN"/>
        </w:rPr>
        <w:t>号楼</w:t>
      </w:r>
      <w:r>
        <w:rPr>
          <w:rFonts w:hint="eastAsia"/>
          <w:lang w:val="en-US" w:eastAsia="zh-CN"/>
        </w:rPr>
        <w:t>为配建房（共有产权房），为两梯五户共116套，面积分别有93.22㎡的二房一卫户型、113.6㎡的三房两卫户型、117.15㎡的四房两卫户型共三种户型）</w:t>
      </w:r>
      <w:r>
        <w:rPr>
          <w:rFonts w:hint="default"/>
          <w:lang w:val="en-US" w:eastAsia="zh-CN"/>
        </w:rPr>
        <w:t>，</w:t>
      </w:r>
      <w:r>
        <w:rPr>
          <w:rFonts w:hint="eastAsia"/>
          <w:lang w:val="en-US" w:eastAsia="zh-CN"/>
        </w:rPr>
        <w:t>8</w:t>
      </w:r>
      <w:r>
        <w:rPr>
          <w:rFonts w:hint="default"/>
          <w:lang w:val="en-US" w:eastAsia="zh-CN"/>
        </w:rPr>
        <w:t>栋</w:t>
      </w:r>
      <w:r>
        <w:rPr>
          <w:rFonts w:hint="eastAsia"/>
          <w:lang w:val="en-US" w:eastAsia="zh-CN"/>
        </w:rPr>
        <w:t>叠墅</w:t>
      </w:r>
      <w:r>
        <w:rPr>
          <w:rFonts w:hint="default"/>
          <w:lang w:val="en-US" w:eastAsia="zh-CN"/>
        </w:rPr>
        <w:t>组成。</w:t>
      </w:r>
    </w:p>
    <w:p>
      <w:pPr>
        <w:numPr>
          <w:ilvl w:val="0"/>
          <w:numId w:val="1"/>
        </w:numPr>
        <w:ind w:left="420" w:leftChars="0" w:hanging="420" w:firstLine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总户数</w:t>
      </w:r>
      <w:r>
        <w:rPr>
          <w:rFonts w:hint="eastAsia"/>
          <w:lang w:val="en-US" w:eastAsia="zh-CN"/>
        </w:rPr>
        <w:t>：</w:t>
      </w:r>
      <w:r>
        <w:rPr>
          <w:rFonts w:hint="default"/>
          <w:lang w:val="en-US" w:eastAsia="zh-CN"/>
        </w:rPr>
        <w:t>1427户</w:t>
      </w:r>
      <w:r>
        <w:rPr>
          <w:rFonts w:hint="eastAsia"/>
          <w:lang w:val="en-US" w:eastAsia="zh-CN"/>
        </w:rPr>
        <w:t>（</w:t>
      </w:r>
      <w:r>
        <w:rPr>
          <w:rFonts w:hint="default"/>
          <w:lang w:val="en-US" w:eastAsia="zh-CN"/>
        </w:rPr>
        <w:t>其中商品房</w:t>
      </w:r>
      <w:r>
        <w:rPr>
          <w:rFonts w:hint="eastAsia"/>
          <w:lang w:val="en-US" w:eastAsia="zh-CN"/>
        </w:rPr>
        <w:t>1272</w:t>
      </w:r>
      <w:r>
        <w:rPr>
          <w:rFonts w:hint="default"/>
          <w:lang w:val="en-US" w:eastAsia="zh-CN"/>
        </w:rPr>
        <w:t>套</w:t>
      </w:r>
      <w:r>
        <w:rPr>
          <w:rFonts w:hint="eastAsia"/>
          <w:lang w:val="en-US" w:eastAsia="zh-CN"/>
        </w:rPr>
        <w:t>）</w:t>
      </w:r>
    </w:p>
    <w:p>
      <w:pPr>
        <w:numPr>
          <w:ilvl w:val="0"/>
          <w:numId w:val="1"/>
        </w:numPr>
        <w:ind w:left="420" w:leftChars="0" w:hanging="420" w:firstLine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产权年限</w:t>
      </w:r>
      <w:r>
        <w:rPr>
          <w:rFonts w:hint="eastAsia"/>
          <w:lang w:val="en-US" w:eastAsia="zh-CN"/>
        </w:rPr>
        <w:t>：</w:t>
      </w:r>
      <w:r>
        <w:rPr>
          <w:rFonts w:hint="default"/>
          <w:lang w:val="en-US" w:eastAsia="zh-CN"/>
        </w:rPr>
        <w:t>住宅 70 年</w:t>
      </w:r>
    </w:p>
    <w:p>
      <w:pPr>
        <w:numPr>
          <w:ilvl w:val="0"/>
          <w:numId w:val="1"/>
        </w:numPr>
        <w:ind w:left="420" w:leftChars="0" w:hanging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物业管理费：</w:t>
      </w:r>
      <w:r>
        <w:rPr>
          <w:rFonts w:hint="eastAsia" w:ascii="微软雅黑" w:hAnsi="微软雅黑" w:eastAsia="微软雅黑" w:cs="宋体"/>
          <w:color w:val="000000"/>
          <w:sz w:val="18"/>
          <w:szCs w:val="16"/>
        </w:rPr>
        <w:t>2.7元/㎡/月</w:t>
      </w:r>
    </w:p>
    <w:p>
      <w:pPr>
        <w:numPr>
          <w:ilvl w:val="0"/>
          <w:numId w:val="1"/>
        </w:numPr>
        <w:ind w:left="420" w:leftChars="0" w:hanging="420" w:firstLineChars="0"/>
        <w:rPr>
          <w:rFonts w:hint="eastAsia"/>
          <w:lang w:val="en-US" w:eastAsia="zh-CN"/>
        </w:rPr>
      </w:pPr>
      <w:r>
        <w:rPr>
          <w:rFonts w:hint="default"/>
          <w:lang w:val="en-US" w:eastAsia="zh-CN"/>
        </w:rPr>
        <w:t>产品信息</w:t>
      </w:r>
      <w:r>
        <w:rPr>
          <w:rFonts w:hint="eastAsia"/>
          <w:lang w:val="en-US" w:eastAsia="zh-CN"/>
        </w:rPr>
        <w:t>：</w:t>
      </w:r>
      <w:r>
        <w:rPr>
          <w:rFonts w:hint="default"/>
          <w:lang w:val="en-US" w:eastAsia="zh-CN"/>
        </w:rPr>
        <w:t>叠墅132-152㎡</w:t>
      </w:r>
      <w:r>
        <w:rPr>
          <w:rFonts w:hint="eastAsia"/>
          <w:lang w:val="en-US" w:eastAsia="zh-CN"/>
        </w:rPr>
        <w:t>，</w:t>
      </w:r>
      <w:r>
        <w:rPr>
          <w:rFonts w:hint="default"/>
          <w:lang w:val="en-US" w:eastAsia="zh-CN"/>
        </w:rPr>
        <w:t>洋房</w:t>
      </w:r>
      <w:r>
        <w:rPr>
          <w:rFonts w:hint="eastAsia"/>
          <w:lang w:val="en-US" w:eastAsia="zh-CN"/>
        </w:rPr>
        <w:t>9</w:t>
      </w:r>
      <w:r>
        <w:rPr>
          <w:rFonts w:hint="default"/>
          <w:lang w:val="en-US" w:eastAsia="zh-CN"/>
        </w:rPr>
        <w:t>1-143㎡</w:t>
      </w:r>
      <w:r>
        <w:rPr>
          <w:rFonts w:hint="eastAsia"/>
          <w:lang w:val="en-US" w:eastAsia="zh-CN"/>
        </w:rPr>
        <w:t>三至五房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【金质</w:t>
      </w:r>
      <w:r>
        <w:rPr>
          <w:rFonts w:hint="default"/>
          <w:lang w:val="en-US" w:eastAsia="zh-CN"/>
        </w:rPr>
        <w:t>城市价值</w:t>
      </w:r>
      <w:r>
        <w:rPr>
          <w:rFonts w:hint="eastAsia"/>
          <w:lang w:val="en-US" w:eastAsia="zh-CN"/>
        </w:rPr>
        <w:t>】</w:t>
      </w:r>
    </w:p>
    <w:p>
      <w:pPr>
        <w:numPr>
          <w:ilvl w:val="0"/>
          <w:numId w:val="1"/>
        </w:numPr>
        <w:ind w:left="420" w:leftChars="0" w:hanging="420" w:firstLine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世界级经济巨舰</w:t>
      </w:r>
      <w:r>
        <w:rPr>
          <w:rFonts w:hint="eastAsia"/>
          <w:lang w:val="en-US" w:eastAsia="zh-CN"/>
        </w:rPr>
        <w:t>：</w:t>
      </w:r>
      <w:r>
        <w:rPr>
          <w:rFonts w:hint="default"/>
          <w:lang w:val="en-US" w:eastAsia="zh-CN"/>
        </w:rPr>
        <w:t>粤港澳大湾区，是中国开放程度最高经济活力最强的区域之一，中国首个万亿级别经济综合体规划，未来发展潜力巨大</w:t>
      </w:r>
      <w:r>
        <w:rPr>
          <w:rFonts w:hint="eastAsia"/>
          <w:lang w:val="en-US" w:eastAsia="zh-CN"/>
        </w:rPr>
        <w:t>；</w:t>
      </w:r>
    </w:p>
    <w:p>
      <w:pPr>
        <w:numPr>
          <w:ilvl w:val="0"/>
          <w:numId w:val="1"/>
        </w:numPr>
        <w:ind w:left="420" w:leftChars="0" w:hanging="420" w:firstLineChars="0"/>
        <w:rPr>
          <w:rFonts w:hint="eastAsia"/>
          <w:lang w:val="en-US" w:eastAsia="zh-CN"/>
        </w:rPr>
      </w:pPr>
      <w:r>
        <w:rPr>
          <w:rFonts w:hint="default"/>
          <w:lang w:val="en-US" w:eastAsia="zh-CN"/>
        </w:rPr>
        <w:t>湾区发展中轴</w:t>
      </w:r>
      <w:r>
        <w:rPr>
          <w:rFonts w:hint="eastAsia"/>
          <w:lang w:val="en-US" w:eastAsia="zh-CN"/>
        </w:rPr>
        <w:t>：</w:t>
      </w:r>
      <w:r>
        <w:rPr>
          <w:rFonts w:hint="default"/>
          <w:lang w:val="en-US" w:eastAsia="zh-CN"/>
        </w:rPr>
        <w:t>东莞处于广州、深圳、香港湾区三大核心城市发展中轴之上，定位万亿经济体量的全球智都，GDP稳居广东第四，新晋千万级人口城市，东莞成湾区经济核心增长点及支点</w:t>
      </w:r>
      <w:r>
        <w:rPr>
          <w:rFonts w:hint="eastAsia"/>
          <w:lang w:val="en-US" w:eastAsia="zh-CN"/>
        </w:rPr>
        <w:t>；</w:t>
      </w:r>
    </w:p>
    <w:p>
      <w:pPr>
        <w:numPr>
          <w:ilvl w:val="0"/>
          <w:numId w:val="1"/>
        </w:numPr>
        <w:ind w:left="420" w:leftChars="0" w:hanging="420" w:firstLineChars="0"/>
        <w:rPr>
          <w:rFonts w:hint="eastAsia"/>
          <w:lang w:val="en-US" w:eastAsia="zh-CN"/>
        </w:rPr>
      </w:pPr>
      <w:r>
        <w:rPr>
          <w:rFonts w:hint="default"/>
          <w:lang w:val="en-US" w:eastAsia="zh-CN"/>
        </w:rPr>
        <w:t>区域发展进入快车道：茶山新城是政府重点规划“一心三轴多组团”的多元复合大中心——教育、医疗、生态一应俱全，坐拥中心成熟配套，百亿投资产升级发展落地，推动城市步入高质量发展的快车道</w:t>
      </w:r>
      <w:r>
        <w:rPr>
          <w:rFonts w:hint="eastAsia"/>
          <w:lang w:val="en-US" w:eastAsia="zh-CN"/>
        </w:rPr>
        <w:t>；</w:t>
      </w:r>
    </w:p>
    <w:p>
      <w:pPr>
        <w:numPr>
          <w:ilvl w:val="0"/>
          <w:numId w:val="1"/>
        </w:numPr>
        <w:ind w:left="420" w:leftChars="0" w:hanging="420" w:firstLine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承接两个大区域利好：东莞松山湖片区是广深港澳科技创新走廊的核心创新平台，项目所在的茶山新城已被纳入东莞松山湖片区统筹组团发展，位处东莞主城区和松山湖两大核心发展极的黄金三角地带，承接两个大区域利好</w:t>
      </w:r>
      <w:r>
        <w:rPr>
          <w:rFonts w:hint="eastAsia"/>
          <w:lang w:val="en-US" w:eastAsia="zh-CN"/>
        </w:rPr>
        <w:t>；</w:t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91455" cy="2778125"/>
            <wp:effectExtent l="0" t="0" r="4445" b="3175"/>
            <wp:docPr id="16" name="图片 15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"/>
                    <pic:cNvPicPr>
                      <a:picLocks noChangeAspect="true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false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1455" cy="277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ind w:left="420" w:leftChars="0" w:hanging="420" w:firstLineChars="0"/>
        <w:rPr>
          <w:rFonts w:hint="eastAsia"/>
          <w:lang w:val="en-US" w:eastAsia="zh-CN"/>
        </w:rPr>
      </w:pPr>
      <w:r>
        <w:rPr>
          <w:rFonts w:hint="default"/>
          <w:lang w:val="en-US" w:eastAsia="zh-CN"/>
        </w:rPr>
        <w:t>发展量级对标虎门：茶山新城规划升级，将打造成为东莞城市交通门户、副中心，享茶山地铁站、东莞火车站双TOD利好，对标虎门城市发展量级</w:t>
      </w:r>
      <w:r>
        <w:rPr>
          <w:rFonts w:hint="eastAsia"/>
          <w:lang w:val="en-US" w:eastAsia="zh-CN"/>
        </w:rPr>
        <w:t>。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376545" cy="3840480"/>
            <wp:effectExtent l="0" t="0" r="8255" b="7620"/>
            <wp:docPr id="19" name="图片 18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8"/>
                    <pic:cNvPicPr>
                      <a:picLocks noChangeAspect="true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false"/>
                        </a:ext>
                      </a:extLst>
                    </a:blip>
                    <a:srcRect l="4467" t="2962" r="1739" b="2177"/>
                    <a:stretch>
                      <a:fillRect/>
                    </a:stretch>
                  </pic:blipFill>
                  <pic:spPr>
                    <a:xfrm>
                      <a:off x="0" y="0"/>
                      <a:ext cx="5376545" cy="384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【金质超配</w:t>
      </w:r>
      <w:r>
        <w:rPr>
          <w:rFonts w:hint="default"/>
          <w:lang w:val="en-US" w:eastAsia="zh-CN"/>
        </w:rPr>
        <w:t>价值</w:t>
      </w:r>
      <w:r>
        <w:rPr>
          <w:rFonts w:hint="eastAsia"/>
          <w:lang w:val="en-US" w:eastAsia="zh-CN"/>
        </w:rPr>
        <w:t>】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【多维立体交通，畅达湾区各大城市】</w:t>
      </w:r>
    </w:p>
    <w:p>
      <w:pPr>
        <w:numPr>
          <w:ilvl w:val="0"/>
          <w:numId w:val="1"/>
        </w:numPr>
        <w:ind w:left="420" w:leftChars="0" w:hanging="420" w:firstLineChars="0"/>
        <w:rPr>
          <w:rFonts w:hint="eastAsia"/>
          <w:lang w:val="en-US" w:eastAsia="zh-CN"/>
        </w:rPr>
      </w:pPr>
      <w:r>
        <w:rPr>
          <w:rFonts w:hint="default"/>
          <w:lang w:val="en-US" w:eastAsia="zh-CN"/>
        </w:rPr>
        <w:t>紧邻地铁站，地铁1站到东城</w:t>
      </w:r>
      <w:r>
        <w:rPr>
          <w:rFonts w:hint="eastAsia"/>
          <w:lang w:val="en-US" w:eastAsia="zh-CN"/>
        </w:rPr>
        <w:t>：地铁R2线茶山站，1站即达东城，4站东城万达，6站东城国贸，30分钟即达虎门；</w:t>
      </w:r>
    </w:p>
    <w:p>
      <w:pPr>
        <w:numPr>
          <w:ilvl w:val="0"/>
          <w:numId w:val="1"/>
        </w:numPr>
        <w:ind w:left="420" w:leftChars="0" w:hanging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轻松往来东莞城区：松山湖东部快速和桑茶快速可快速到达东莞各镇区；</w:t>
      </w:r>
    </w:p>
    <w:p>
      <w:pPr>
        <w:numPr>
          <w:ilvl w:val="0"/>
          <w:numId w:val="1"/>
        </w:numPr>
        <w:ind w:left="420" w:leftChars="0" w:hanging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享1小时湾区生活圈：距广深和谐号（东莞站）约2.5公里，40分钟通达深圳罗湖，莞深高速、从广深高速、潮莞高速三大高速，南下1小时可达深圳福田。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4893945" cy="2656840"/>
            <wp:effectExtent l="0" t="0" r="8255" b="10160"/>
            <wp:docPr id="23" name="图片 22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2"/>
                    <pic:cNvPicPr>
                      <a:picLocks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false"/>
                        </a:ext>
                      </a:extLst>
                    </a:blip>
                    <a:srcRect b="3508"/>
                    <a:stretch>
                      <a:fillRect/>
                    </a:stretch>
                  </pic:blipFill>
                  <pic:spPr>
                    <a:xfrm>
                      <a:off x="0" y="0"/>
                      <a:ext cx="4894546" cy="2656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【配套齐全 享品质生活】</w:t>
      </w:r>
    </w:p>
    <w:p>
      <w:pPr>
        <w:numPr>
          <w:ilvl w:val="0"/>
          <w:numId w:val="1"/>
        </w:numPr>
        <w:ind w:left="420" w:leftChars="0" w:hanging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商业配套：10分钟车程内通达喜悦里购物中心、龙珠商业广场、茶园商场；</w:t>
      </w:r>
    </w:p>
    <w:p>
      <w:pPr>
        <w:numPr>
          <w:ilvl w:val="0"/>
          <w:numId w:val="1"/>
        </w:numPr>
        <w:ind w:left="420" w:leftChars="0" w:hanging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教育配套：3公里范围内已有8所幼儿园、4所小学、3所初中及高中；</w:t>
      </w:r>
    </w:p>
    <w:p>
      <w:pPr>
        <w:numPr>
          <w:ilvl w:val="0"/>
          <w:numId w:val="1"/>
        </w:numPr>
        <w:ind w:left="420" w:leftChars="0" w:hanging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公园配套：项目周边3公园环绕（北侧市政绿地，南侧滨江公园，东侧体育绿地）；</w:t>
      </w:r>
    </w:p>
    <w:p>
      <w:pPr>
        <w:numPr>
          <w:ilvl w:val="0"/>
          <w:numId w:val="1"/>
        </w:numPr>
        <w:ind w:left="420" w:leftChars="0" w:hanging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文体配套：1公里范围内集结镇综合服务中心、茶山图书馆、茶山广场、茶山体育馆。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756275" cy="2547620"/>
            <wp:effectExtent l="0" t="0" r="9525" b="5080"/>
            <wp:docPr id="26" name="图片 25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5"/>
                    <pic:cNvPicPr>
                      <a:picLocks noChangeAspect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false"/>
                        </a:ext>
                      </a:extLst>
                    </a:blip>
                    <a:srcRect b="11490"/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2547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【一江三园五景环绕】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占据城市稀缺资源，享受400米首排江景面。</w:t>
      </w:r>
    </w:p>
    <w:p>
      <w:pPr>
        <w:numPr>
          <w:ilvl w:val="0"/>
          <w:numId w:val="1"/>
        </w:numPr>
        <w:ind w:left="420" w:leftChars="0" w:hanging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一江：东江寒溪河首排，约400米壮阔江面；</w:t>
      </w:r>
    </w:p>
    <w:p>
      <w:pPr>
        <w:numPr>
          <w:ilvl w:val="0"/>
          <w:numId w:val="1"/>
        </w:numPr>
        <w:ind w:left="420" w:leftChars="0" w:hanging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三园：滨江公园、市政公园（规划中）、体育绿地（规划中）；</w:t>
      </w:r>
    </w:p>
    <w:p>
      <w:pPr>
        <w:numPr>
          <w:ilvl w:val="0"/>
          <w:numId w:val="1"/>
        </w:numPr>
        <w:ind w:left="420" w:leftChars="0" w:hanging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五景：生态园风景区、南社古村建筑群、牛过蓢古村落、燕岭湿地、东岳公园项目。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667375" cy="4249420"/>
            <wp:effectExtent l="0" t="0" r="9525" b="5080"/>
            <wp:docPr id="6" name="图片 5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true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4249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【金质生活价值】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国企金工品质，悦享美好生活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【布局合理 户户朝南全明设计】</w:t>
      </w:r>
    </w:p>
    <w:p>
      <w:pPr>
        <w:numPr>
          <w:ilvl w:val="0"/>
          <w:numId w:val="1"/>
        </w:numPr>
        <w:ind w:left="420" w:leftChars="0" w:hanging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新中式典雅园林，布局沿中轴对称，采用点状半围合设计；</w:t>
      </w:r>
    </w:p>
    <w:p>
      <w:pPr>
        <w:numPr>
          <w:ilvl w:val="0"/>
          <w:numId w:val="1"/>
        </w:numPr>
        <w:ind w:left="420" w:leftChars="0" w:hanging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北高南低，南向瞰江，朝南全明设计；</w:t>
      </w:r>
    </w:p>
    <w:p>
      <w:pPr>
        <w:numPr>
          <w:ilvl w:val="0"/>
          <w:numId w:val="1"/>
        </w:numPr>
        <w:ind w:left="420" w:leftChars="0" w:hanging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新中式造园设计，3横5纵园林格局。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868035" cy="3910965"/>
            <wp:effectExtent l="0" t="0" r="12065" b="635"/>
            <wp:docPr id="24" name="图片 23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3"/>
                    <pic:cNvPicPr>
                      <a:picLocks noChangeAspect="true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false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3910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sectPr>
      <w:pgSz w:w="11906" w:h="16838"/>
      <w:pgMar w:top="1327" w:right="1689" w:bottom="1327" w:left="1689" w:header="851" w:footer="992" w:gutter="0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altName w:val="方正书宋_GBK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altName w:val="Times New Roman"/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altName w:val="DejaVu Sans"/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2000609000000000000"/>
    <w:charset w:val="02"/>
    <w:family w:val="roman"/>
    <w:pitch w:val="default"/>
    <w:sig w:usb0="800000AF" w:usb1="4000204A" w:usb2="00000000" w:usb3="00000000" w:csb0="20000000" w:csb1="00000000"/>
  </w:font>
  <w:font w:name="Calibri">
    <w:altName w:val="DejaVu Sans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微软雅黑">
    <w:altName w:val="黑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方正书宋_GBK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DejaVu Sans">
    <w:panose1 w:val="020B0603030804020204"/>
    <w:charset w:val="00"/>
    <w:family w:val="auto"/>
    <w:pitch w:val="default"/>
    <w:sig w:usb0="E7006EFF" w:usb1="D200FDFF" w:usb2="0A246029" w:usb3="0400200C" w:csb0="600001FF" w:csb1="DFFF0000"/>
  </w:font>
  <w:font w:name="方正宋体S-超大字符集">
    <w:panose1 w:val="02000000000000000000"/>
    <w:charset w:val="86"/>
    <w:family w:val="auto"/>
    <w:pitch w:val="default"/>
    <w:sig w:usb0="00000001" w:usb1="0800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D74A5D4"/>
    <w:multiLevelType w:val="singleLevel"/>
    <w:tmpl w:val="8D74A5D4"/>
    <w:lvl w:ilvl="0" w:tentative="0">
      <w:start w:val="1"/>
      <w:numFmt w:val="bullet"/>
      <w:lvlText w:val=""/>
      <w:lvlJc w:val="left"/>
      <w:pPr>
        <w:ind w:left="420" w:hanging="42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true"/>
  <w:bordersDoNotSurroundFooter w:val="true"/>
  <w:revisionView w:markup="0"/>
  <w:trackRevisions w:val="true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BhNGFiYTQwZTNiZDZlNWJlYWZhNzUzZGU0N2RjNzEifQ=="/>
  </w:docVars>
  <w:rsids>
    <w:rsidRoot w:val="00000000"/>
    <w:rsid w:val="022F44AE"/>
    <w:rsid w:val="0C875AAA"/>
    <w:rsid w:val="1B8E4478"/>
    <w:rsid w:val="518A3AE6"/>
    <w:rsid w:val="5757F2FB"/>
    <w:rsid w:val="5DF9340D"/>
    <w:rsid w:val="5F1035AD"/>
    <w:rsid w:val="5FE5432F"/>
    <w:rsid w:val="61ED2DF5"/>
    <w:rsid w:val="6F7326C3"/>
    <w:rsid w:val="7B76B5BC"/>
    <w:rsid w:val="BF5141BE"/>
    <w:rsid w:val="FE9B2327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numbering" Target="numbering.xml"/><Relationship Id="rId11" Type="http://schemas.openxmlformats.org/officeDocument/2006/relationships/customXml" Target="../customXml/item1.xml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false"/>
        </a:gradFill>
        <a:gradFill rotWithShape="true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false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true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false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1191</Words>
  <Characters>1252</Characters>
  <Lines>0</Lines>
  <Paragraphs>0</Paragraphs>
  <TotalTime>23</TotalTime>
  <ScaleCrop>false</ScaleCrop>
  <LinksUpToDate>false</LinksUpToDate>
  <CharactersWithSpaces>1256</CharactersWithSpaces>
  <Application>WPS Office_11.8.2.10422_F1E327BC-269C-435d-A152-05C5408002CA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2023-09-25T15:40:00Z</dcterms:created>
  <dc:creator>梁大宜</dc:creator>
  <cp:lastModifiedBy>uos</cp:lastModifiedBy>
  <dcterms:modified xsi:type="dcterms:W3CDTF">2024-12-19T11:10:23Z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2052-11.8.2.10422</vt:lpwstr>
  </property>
  <property fmtid="{D5CDD505-2E9C-101B-9397-08002B2CF9AE}" pid="3" name="ICV">
    <vt:lpwstr>2C8891644D414697AEAE8BCEDDF292A2_13</vt:lpwstr>
  </property>
</Properties>
</file>