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600" w:lineRule="exact"/>
        <w:jc w:val="both"/>
        <w:rPr>
          <w:rFonts w:hint="default" w:ascii="Times New Roman" w:hAnsi="Times New Roman" w:eastAsia="仿宋_GB2312" w:cs="Times New Roman"/>
          <w:color w:val="000000"/>
          <w:spacing w:val="8"/>
          <w:sz w:val="32"/>
          <w:szCs w:val="32"/>
          <w:shd w:val="clear" w:color="auto" w:fill="FFFFFF"/>
          <w:lang w:val="en-US" w:eastAsia="zh-CN"/>
        </w:rPr>
      </w:pPr>
      <w:bookmarkStart w:id="0" w:name="_GoBack"/>
      <w:bookmarkEnd w:id="0"/>
      <w:r>
        <w:rPr>
          <w:rFonts w:hint="default" w:ascii="Times New Roman" w:hAnsi="Times New Roman" w:eastAsia="仿宋_GB2312" w:cs="Times New Roman"/>
          <w:color w:val="000000"/>
          <w:spacing w:val="8"/>
          <w:sz w:val="32"/>
          <w:szCs w:val="32"/>
          <w:shd w:val="clear" w:color="auto" w:fill="FFFFFF"/>
          <w:lang w:eastAsia="zh-CN"/>
        </w:rPr>
        <w:t>附件</w:t>
      </w:r>
      <w:r>
        <w:rPr>
          <w:rFonts w:hint="eastAsia" w:ascii="Times New Roman" w:hAnsi="Times New Roman" w:eastAsia="仿宋_GB2312" w:cs="Times New Roman"/>
          <w:color w:val="000000"/>
          <w:spacing w:val="8"/>
          <w:sz w:val="32"/>
          <w:szCs w:val="32"/>
          <w:shd w:val="clear" w:color="auto" w:fill="FFFFFF"/>
          <w:lang w:val="en-US" w:eastAsia="zh-CN"/>
        </w:rPr>
        <w:t>3</w:t>
      </w:r>
      <w:r>
        <w:rPr>
          <w:rFonts w:hint="default" w:ascii="Times New Roman" w:hAnsi="Times New Roman" w:eastAsia="仿宋_GB2312" w:cs="Times New Roman"/>
          <w:color w:val="000000"/>
          <w:spacing w:val="8"/>
          <w:sz w:val="32"/>
          <w:szCs w:val="32"/>
          <w:shd w:val="clear" w:color="auto" w:fill="FFFFFF"/>
          <w:lang w:val="en-US" w:eastAsia="zh-CN"/>
        </w:rPr>
        <w:t>-1</w:t>
      </w:r>
    </w:p>
    <w:p>
      <w:pPr>
        <w:spacing w:line="600" w:lineRule="exact"/>
        <w:jc w:val="center"/>
        <w:rPr>
          <w:rFonts w:hint="eastAsia" w:ascii="微软雅黑" w:hAnsi="微软雅黑" w:eastAsia="微软雅黑" w:cs="方正小标宋简体"/>
          <w:color w:val="000000"/>
          <w:spacing w:val="8"/>
          <w:sz w:val="44"/>
          <w:szCs w:val="44"/>
          <w:shd w:val="clear" w:color="auto" w:fill="FFFFFF"/>
        </w:rPr>
      </w:pPr>
      <w:r>
        <w:rPr>
          <w:rFonts w:hint="default" w:ascii="Times New Roman" w:hAnsi="Times New Roman" w:eastAsia="仿宋_GB2312" w:cs="Times New Roman"/>
          <w:sz w:val="44"/>
          <w:szCs w:val="4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771525</wp:posOffset>
            </wp:positionV>
            <wp:extent cx="5274310" cy="2966720"/>
            <wp:effectExtent l="0" t="0" r="2540" b="5080"/>
            <wp:wrapTopAndBottom/>
            <wp:docPr id="605289032" name="图片 2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289032" name="图片 2"/>
                    <pic:cNvPicPr>
                      <a:picLocks noChangeAspect="true" noChangeArrowheads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方正小标宋简体"/>
          <w:color w:val="000000"/>
          <w:spacing w:val="8"/>
          <w:sz w:val="44"/>
          <w:szCs w:val="44"/>
          <w:shd w:val="clear" w:color="auto" w:fill="FFFFFF"/>
        </w:rPr>
        <w:t>嘉誉湾花园项目资料</w:t>
      </w:r>
    </w:p>
    <w:tbl>
      <w:tblPr>
        <w:tblStyle w:val="6"/>
        <w:tblW w:w="94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12"/>
        <w:gridCol w:w="3356"/>
        <w:gridCol w:w="1376"/>
        <w:gridCol w:w="300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3" w:hRule="atLeast"/>
          <w:jc w:val="center"/>
        </w:trPr>
        <w:tc>
          <w:tcPr>
            <w:tcW w:w="1712" w:type="dxa"/>
            <w:shd w:val="clear" w:color="000000" w:fill="C7DAF1"/>
            <w:vAlign w:val="center"/>
          </w:tcPr>
          <w:p>
            <w:pPr>
              <w:spacing w:line="240" w:lineRule="auto"/>
              <w:jc w:val="center"/>
              <w:rPr>
                <w:rFonts w:ascii="微软雅黑" w:hAnsi="微软雅黑" w:eastAsia="微软雅黑" w:cs="宋体"/>
                <w:color w:val="000000"/>
                <w:sz w:val="18"/>
                <w:szCs w:val="16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项目总占地：</w:t>
            </w:r>
          </w:p>
        </w:tc>
        <w:tc>
          <w:tcPr>
            <w:tcW w:w="3356" w:type="dxa"/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ascii="微软雅黑" w:hAnsi="微软雅黑" w:eastAsia="微软雅黑" w:cs="宋体"/>
                <w:color w:val="000000"/>
                <w:sz w:val="18"/>
                <w:szCs w:val="16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8.8万</w:t>
            </w:r>
            <w:r>
              <w:rPr>
                <w:rFonts w:hint="eastAsia" w:ascii="微软雅黑" w:hAnsi="微软雅黑" w:eastAsia="微软雅黑" w:cs="Batang"/>
                <w:color w:val="000000"/>
                <w:sz w:val="18"/>
                <w:szCs w:val="16"/>
              </w:rPr>
              <w:t>㎡</w:t>
            </w:r>
          </w:p>
        </w:tc>
        <w:tc>
          <w:tcPr>
            <w:tcW w:w="1376" w:type="dxa"/>
            <w:shd w:val="clear" w:color="000000" w:fill="C7DAF1"/>
            <w:vAlign w:val="center"/>
          </w:tcPr>
          <w:p>
            <w:pPr>
              <w:spacing w:line="240" w:lineRule="auto"/>
              <w:jc w:val="center"/>
              <w:rPr>
                <w:rFonts w:ascii="微软雅黑" w:hAnsi="微软雅黑" w:eastAsia="微软雅黑" w:cs="宋体"/>
                <w:color w:val="000000"/>
                <w:sz w:val="18"/>
                <w:szCs w:val="16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总建筑面积：</w:t>
            </w:r>
          </w:p>
        </w:tc>
        <w:tc>
          <w:tcPr>
            <w:tcW w:w="3002" w:type="dxa"/>
            <w:vAlign w:val="center"/>
          </w:tcPr>
          <w:p>
            <w:pPr>
              <w:spacing w:line="240" w:lineRule="auto"/>
              <w:jc w:val="center"/>
              <w:rPr>
                <w:rFonts w:ascii="微软雅黑" w:hAnsi="微软雅黑" w:eastAsia="微软雅黑" w:cs="宋体"/>
                <w:color w:val="000000"/>
                <w:sz w:val="18"/>
                <w:szCs w:val="16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19.8万</w:t>
            </w:r>
            <w:r>
              <w:rPr>
                <w:rFonts w:hint="eastAsia" w:ascii="微软雅黑" w:hAnsi="微软雅黑" w:eastAsia="微软雅黑" w:cs="Batang"/>
                <w:color w:val="000000"/>
                <w:sz w:val="18"/>
                <w:szCs w:val="16"/>
              </w:rPr>
              <w:t>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48" w:hRule="atLeast"/>
          <w:jc w:val="center"/>
        </w:trPr>
        <w:tc>
          <w:tcPr>
            <w:tcW w:w="1712" w:type="dxa"/>
            <w:shd w:val="clear" w:color="000000" w:fill="C7DAF1"/>
            <w:vAlign w:val="center"/>
          </w:tcPr>
          <w:p>
            <w:pPr>
              <w:spacing w:line="240" w:lineRule="auto"/>
              <w:jc w:val="left"/>
              <w:rPr>
                <w:rFonts w:ascii="微软雅黑" w:hAnsi="微软雅黑" w:eastAsia="微软雅黑" w:cs="宋体"/>
                <w:color w:val="000000"/>
                <w:sz w:val="18"/>
                <w:szCs w:val="16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容积率：</w:t>
            </w:r>
          </w:p>
        </w:tc>
        <w:tc>
          <w:tcPr>
            <w:tcW w:w="3356" w:type="dxa"/>
            <w:shd w:val="clear" w:color="auto" w:fill="auto"/>
            <w:vAlign w:val="center"/>
          </w:tcPr>
          <w:p>
            <w:pPr>
              <w:spacing w:line="240" w:lineRule="auto"/>
              <w:jc w:val="left"/>
              <w:rPr>
                <w:rFonts w:ascii="微软雅黑" w:hAnsi="微软雅黑" w:eastAsia="微软雅黑" w:cs="宋体"/>
                <w:color w:val="000000"/>
                <w:sz w:val="18"/>
                <w:szCs w:val="16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1.8</w:t>
            </w:r>
          </w:p>
        </w:tc>
        <w:tc>
          <w:tcPr>
            <w:tcW w:w="1376" w:type="dxa"/>
            <w:shd w:val="clear" w:color="000000" w:fill="C7DAF1"/>
            <w:vAlign w:val="center"/>
          </w:tcPr>
          <w:p>
            <w:pPr>
              <w:spacing w:line="240" w:lineRule="auto"/>
              <w:jc w:val="left"/>
              <w:rPr>
                <w:rFonts w:ascii="微软雅黑" w:hAnsi="微软雅黑" w:eastAsia="微软雅黑" w:cs="宋体"/>
                <w:color w:val="000000"/>
                <w:sz w:val="18"/>
                <w:szCs w:val="16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绿地率：</w:t>
            </w:r>
          </w:p>
        </w:tc>
        <w:tc>
          <w:tcPr>
            <w:tcW w:w="3002" w:type="dxa"/>
            <w:vAlign w:val="center"/>
          </w:tcPr>
          <w:p>
            <w:pPr>
              <w:spacing w:line="240" w:lineRule="auto"/>
              <w:jc w:val="left"/>
              <w:rPr>
                <w:rFonts w:ascii="微软雅黑" w:hAnsi="微软雅黑" w:eastAsia="微软雅黑" w:cs="宋体"/>
                <w:color w:val="000000"/>
                <w:sz w:val="18"/>
                <w:szCs w:val="16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约43％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8" w:hRule="atLeast"/>
          <w:jc w:val="center"/>
        </w:trPr>
        <w:tc>
          <w:tcPr>
            <w:tcW w:w="1712" w:type="dxa"/>
            <w:shd w:val="clear" w:color="000000" w:fill="C7DAF1"/>
            <w:vAlign w:val="center"/>
          </w:tcPr>
          <w:p>
            <w:pPr>
              <w:spacing w:line="240" w:lineRule="auto"/>
              <w:jc w:val="left"/>
              <w:rPr>
                <w:rFonts w:ascii="微软雅黑" w:hAnsi="微软雅黑" w:eastAsia="微软雅黑" w:cs="宋体"/>
                <w:color w:val="000000"/>
                <w:sz w:val="18"/>
                <w:szCs w:val="16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总套数：</w:t>
            </w:r>
          </w:p>
        </w:tc>
        <w:tc>
          <w:tcPr>
            <w:tcW w:w="3356" w:type="dxa"/>
            <w:shd w:val="clear" w:color="auto" w:fill="auto"/>
            <w:vAlign w:val="center"/>
          </w:tcPr>
          <w:p>
            <w:pPr>
              <w:spacing w:line="240" w:lineRule="auto"/>
              <w:jc w:val="left"/>
              <w:rPr>
                <w:rFonts w:ascii="微软雅黑" w:hAnsi="微软雅黑" w:eastAsia="微软雅黑" w:cs="宋体"/>
                <w:color w:val="000000"/>
                <w:sz w:val="18"/>
                <w:szCs w:val="16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约1196套</w:t>
            </w:r>
          </w:p>
        </w:tc>
        <w:tc>
          <w:tcPr>
            <w:tcW w:w="1376" w:type="dxa"/>
            <w:shd w:val="clear" w:color="000000" w:fill="C7DAF1"/>
            <w:vAlign w:val="center"/>
          </w:tcPr>
          <w:p>
            <w:pPr>
              <w:spacing w:line="240" w:lineRule="auto"/>
              <w:jc w:val="left"/>
              <w:rPr>
                <w:rFonts w:ascii="微软雅黑" w:hAnsi="微软雅黑" w:eastAsia="微软雅黑" w:cs="宋体"/>
                <w:color w:val="000000"/>
                <w:sz w:val="18"/>
                <w:szCs w:val="16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产权：</w:t>
            </w:r>
          </w:p>
        </w:tc>
        <w:tc>
          <w:tcPr>
            <w:tcW w:w="3002" w:type="dxa"/>
            <w:vAlign w:val="center"/>
          </w:tcPr>
          <w:p>
            <w:pPr>
              <w:spacing w:line="240" w:lineRule="auto"/>
              <w:jc w:val="left"/>
              <w:rPr>
                <w:rFonts w:ascii="微软雅黑" w:hAnsi="微软雅黑" w:eastAsia="微软雅黑" w:cs="宋体"/>
                <w:color w:val="000000"/>
                <w:sz w:val="18"/>
                <w:szCs w:val="16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70年（20</w:t>
            </w:r>
            <w:r>
              <w:rPr>
                <w:rFonts w:ascii="微软雅黑" w:hAnsi="微软雅黑" w:eastAsia="微软雅黑" w:cs="宋体"/>
                <w:color w:val="000000"/>
                <w:sz w:val="18"/>
                <w:szCs w:val="16"/>
              </w:rPr>
              <w:t>18</w:t>
            </w: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-20</w:t>
            </w:r>
            <w:r>
              <w:rPr>
                <w:rFonts w:ascii="微软雅黑" w:hAnsi="微软雅黑" w:eastAsia="微软雅黑" w:cs="宋体"/>
                <w:color w:val="000000"/>
                <w:sz w:val="18"/>
                <w:szCs w:val="16"/>
              </w:rPr>
              <w:t>88</w:t>
            </w: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983" w:hRule="atLeast"/>
          <w:jc w:val="center"/>
        </w:trPr>
        <w:tc>
          <w:tcPr>
            <w:tcW w:w="1712" w:type="dxa"/>
            <w:shd w:val="clear" w:color="000000" w:fill="C7DAF1"/>
            <w:vAlign w:val="center"/>
          </w:tcPr>
          <w:p>
            <w:pPr>
              <w:spacing w:line="240" w:lineRule="auto"/>
              <w:jc w:val="left"/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梯户比</w:t>
            </w:r>
          </w:p>
        </w:tc>
        <w:tc>
          <w:tcPr>
            <w:tcW w:w="3356" w:type="dxa"/>
            <w:shd w:val="clear" w:color="auto" w:fill="auto"/>
            <w:vAlign w:val="center"/>
          </w:tcPr>
          <w:p>
            <w:pPr>
              <w:spacing w:line="240" w:lineRule="auto"/>
              <w:jc w:val="left"/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2梯4户</w:t>
            </w:r>
          </w:p>
        </w:tc>
        <w:tc>
          <w:tcPr>
            <w:tcW w:w="1376" w:type="dxa"/>
            <w:shd w:val="clear" w:color="000000" w:fill="C7DAF1"/>
            <w:vAlign w:val="center"/>
          </w:tcPr>
          <w:p>
            <w:pPr>
              <w:spacing w:line="240" w:lineRule="auto"/>
              <w:jc w:val="left"/>
              <w:rPr>
                <w:rFonts w:hint="eastAsia" w:ascii="微软雅黑" w:hAnsi="微软雅黑" w:eastAsia="微软雅黑" w:cs="宋体"/>
                <w:i/>
                <w:iCs/>
                <w:color w:val="000000"/>
                <w:sz w:val="18"/>
                <w:szCs w:val="16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交付标准：</w:t>
            </w:r>
          </w:p>
        </w:tc>
        <w:tc>
          <w:tcPr>
            <w:tcW w:w="3002" w:type="dxa"/>
            <w:vAlign w:val="center"/>
          </w:tcPr>
          <w:p>
            <w:pPr>
              <w:spacing w:line="240" w:lineRule="auto"/>
              <w:jc w:val="left"/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精装交付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8" w:hRule="atLeast"/>
          <w:jc w:val="center"/>
        </w:trPr>
        <w:tc>
          <w:tcPr>
            <w:tcW w:w="1712" w:type="dxa"/>
            <w:shd w:val="clear" w:color="000000" w:fill="C7DAF1"/>
            <w:vAlign w:val="center"/>
          </w:tcPr>
          <w:p>
            <w:pPr>
              <w:spacing w:line="240" w:lineRule="auto"/>
              <w:jc w:val="left"/>
              <w:rPr>
                <w:rFonts w:ascii="微软雅黑" w:hAnsi="微软雅黑" w:eastAsia="微软雅黑" w:cs="宋体"/>
                <w:color w:val="000000"/>
                <w:sz w:val="18"/>
                <w:szCs w:val="16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地下车位：</w:t>
            </w:r>
          </w:p>
        </w:tc>
        <w:tc>
          <w:tcPr>
            <w:tcW w:w="3356" w:type="dxa"/>
            <w:shd w:val="clear" w:color="auto" w:fill="auto"/>
            <w:vAlign w:val="center"/>
          </w:tcPr>
          <w:p>
            <w:pPr>
              <w:spacing w:line="240" w:lineRule="auto"/>
              <w:jc w:val="left"/>
              <w:rPr>
                <w:rFonts w:ascii="微软雅黑" w:hAnsi="微软雅黑" w:eastAsia="微软雅黑" w:cs="宋体"/>
                <w:color w:val="000000"/>
                <w:sz w:val="18"/>
                <w:szCs w:val="16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约1</w:t>
            </w:r>
            <w:r>
              <w:rPr>
                <w:rFonts w:ascii="微软雅黑" w:hAnsi="微软雅黑" w:eastAsia="微软雅黑" w:cs="宋体"/>
                <w:color w:val="000000"/>
                <w:sz w:val="18"/>
                <w:szCs w:val="16"/>
              </w:rPr>
              <w:t>011</w:t>
            </w: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个</w:t>
            </w:r>
          </w:p>
        </w:tc>
        <w:tc>
          <w:tcPr>
            <w:tcW w:w="1376" w:type="dxa"/>
            <w:shd w:val="clear" w:color="000000" w:fill="C7DAF1"/>
            <w:vAlign w:val="center"/>
          </w:tcPr>
          <w:p>
            <w:pPr>
              <w:spacing w:line="240" w:lineRule="auto"/>
              <w:jc w:val="left"/>
              <w:rPr>
                <w:rFonts w:ascii="微软雅黑" w:hAnsi="微软雅黑" w:eastAsia="微软雅黑" w:cs="宋体"/>
                <w:color w:val="000000"/>
                <w:sz w:val="18"/>
                <w:szCs w:val="16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管理费：</w:t>
            </w:r>
          </w:p>
        </w:tc>
        <w:tc>
          <w:tcPr>
            <w:tcW w:w="3002" w:type="dxa"/>
            <w:vAlign w:val="center"/>
          </w:tcPr>
          <w:p>
            <w:pPr>
              <w:spacing w:line="240" w:lineRule="auto"/>
              <w:jc w:val="left"/>
              <w:rPr>
                <w:rFonts w:ascii="微软雅黑" w:hAnsi="微软雅黑" w:eastAsia="微软雅黑" w:cs="宋体"/>
                <w:color w:val="000000"/>
                <w:sz w:val="18"/>
                <w:szCs w:val="16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2.7元/㎡/月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48" w:hRule="atLeast"/>
          <w:jc w:val="center"/>
        </w:trPr>
        <w:tc>
          <w:tcPr>
            <w:tcW w:w="1712" w:type="dxa"/>
            <w:shd w:val="clear" w:color="000000" w:fill="C7DAF1"/>
            <w:vAlign w:val="center"/>
          </w:tcPr>
          <w:p>
            <w:pPr>
              <w:spacing w:line="240" w:lineRule="auto"/>
              <w:jc w:val="left"/>
              <w:rPr>
                <w:rFonts w:hint="eastAsia" w:ascii="微软雅黑" w:hAnsi="微软雅黑" w:eastAsia="微软雅黑" w:cs="宋体"/>
                <w:color w:val="000000"/>
                <w:kern w:val="2"/>
                <w:sz w:val="18"/>
                <w:szCs w:val="16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物业公司：</w:t>
            </w:r>
          </w:p>
        </w:tc>
        <w:tc>
          <w:tcPr>
            <w:tcW w:w="3356" w:type="dxa"/>
            <w:shd w:val="clear" w:color="auto" w:fill="auto"/>
            <w:vAlign w:val="center"/>
          </w:tcPr>
          <w:p>
            <w:pPr>
              <w:spacing w:line="240" w:lineRule="auto"/>
              <w:jc w:val="left"/>
              <w:rPr>
                <w:rFonts w:hint="eastAsia" w:ascii="微软雅黑" w:hAnsi="微软雅黑" w:eastAsia="微软雅黑" w:cs="宋体"/>
                <w:color w:val="000000"/>
                <w:kern w:val="2"/>
                <w:sz w:val="18"/>
                <w:szCs w:val="16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嘉英物业(一级物业公司)</w:t>
            </w:r>
          </w:p>
        </w:tc>
        <w:tc>
          <w:tcPr>
            <w:tcW w:w="1376" w:type="dxa"/>
            <w:shd w:val="clear" w:color="000000" w:fill="C7DAF1"/>
            <w:vAlign w:val="center"/>
          </w:tcPr>
          <w:p>
            <w:pPr>
              <w:spacing w:line="240" w:lineRule="auto"/>
              <w:jc w:val="left"/>
              <w:rPr>
                <w:rFonts w:hint="eastAsia" w:ascii="微软雅黑" w:hAnsi="微软雅黑" w:eastAsia="微软雅黑" w:cs="宋体"/>
                <w:color w:val="000000"/>
                <w:kern w:val="2"/>
                <w:sz w:val="18"/>
                <w:szCs w:val="16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地址：</w:t>
            </w:r>
          </w:p>
        </w:tc>
        <w:tc>
          <w:tcPr>
            <w:tcW w:w="3002" w:type="dxa"/>
            <w:vAlign w:val="center"/>
          </w:tcPr>
          <w:p>
            <w:pPr>
              <w:spacing w:line="240" w:lineRule="auto"/>
              <w:jc w:val="left"/>
              <w:rPr>
                <w:rFonts w:hint="eastAsia" w:ascii="微软雅黑" w:hAnsi="微软雅黑" w:eastAsia="微软雅黑" w:cs="宋体"/>
                <w:color w:val="000000"/>
                <w:kern w:val="2"/>
                <w:sz w:val="18"/>
                <w:szCs w:val="16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东莞市茶山镇盈福路3号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3" w:hRule="atLeast"/>
          <w:jc w:val="center"/>
        </w:trPr>
        <w:tc>
          <w:tcPr>
            <w:tcW w:w="1712" w:type="dxa"/>
            <w:shd w:val="clear" w:color="000000" w:fill="C7DAF1"/>
            <w:vAlign w:val="center"/>
          </w:tcPr>
          <w:p>
            <w:pPr>
              <w:spacing w:line="240" w:lineRule="auto"/>
              <w:jc w:val="left"/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社区配套：</w:t>
            </w:r>
          </w:p>
        </w:tc>
        <w:tc>
          <w:tcPr>
            <w:tcW w:w="7734" w:type="dxa"/>
            <w:gridSpan w:val="3"/>
            <w:shd w:val="clear" w:color="auto" w:fill="auto"/>
            <w:vAlign w:val="center"/>
          </w:tcPr>
          <w:p>
            <w:pPr>
              <w:spacing w:line="240" w:lineRule="auto"/>
              <w:jc w:val="left"/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</w:pPr>
            <w:r>
              <w:rPr>
                <w:rFonts w:hint="eastAsia" w:ascii="微软雅黑" w:hAnsi="微软雅黑" w:eastAsia="微软雅黑" w:cs="宋体"/>
                <w:color w:val="000000"/>
                <w:sz w:val="18"/>
                <w:szCs w:val="16"/>
              </w:rPr>
              <w:t>中央泳池、健康环形跑道、儿童乐园、康体乐园、景观廊架、休闲平台、休闲草坪等</w:t>
            </w:r>
          </w:p>
        </w:tc>
      </w:tr>
    </w:tbl>
    <w:p>
      <w:pPr>
        <w:snapToGrid w:val="0"/>
        <w:spacing w:before="0" w:beforeAutospacing="0" w:line="360" w:lineRule="auto"/>
        <w:jc w:val="left"/>
        <w:rPr>
          <w:rFonts w:hint="eastAsia" w:ascii="微软雅黑" w:hAnsi="微软雅黑" w:eastAsia="微软雅黑"/>
          <w:b/>
        </w:rPr>
      </w:pPr>
    </w:p>
    <w:p>
      <w:pPr>
        <w:snapToGrid w:val="0"/>
        <w:spacing w:before="0" w:beforeAutospacing="0" w:line="360" w:lineRule="auto"/>
        <w:jc w:val="left"/>
        <w:rPr>
          <w:rFonts w:hint="eastAsia" w:ascii="微软雅黑" w:hAnsi="微软雅黑" w:eastAsia="微软雅黑"/>
          <w:b/>
        </w:rPr>
      </w:pPr>
    </w:p>
    <w:p>
      <w:pPr>
        <w:snapToGrid w:val="0"/>
        <w:spacing w:before="0" w:beforeAutospacing="0" w:line="360" w:lineRule="auto"/>
        <w:jc w:val="left"/>
        <w:rPr>
          <w:rFonts w:hint="eastAsia" w:ascii="微软雅黑" w:hAnsi="微软雅黑" w:eastAsia="微软雅黑"/>
          <w:b/>
        </w:rPr>
      </w:pPr>
    </w:p>
    <w:p>
      <w:pPr>
        <w:snapToGrid w:val="0"/>
        <w:spacing w:before="0" w:beforeAutospacing="0" w:line="360" w:lineRule="auto"/>
        <w:jc w:val="left"/>
        <w:rPr>
          <w:rFonts w:ascii="微软雅黑" w:hAnsi="微软雅黑" w:eastAsia="微软雅黑"/>
          <w:b/>
        </w:rPr>
      </w:pPr>
      <w:r>
        <w:rPr>
          <w:rFonts w:hint="eastAsia" w:ascii="微软雅黑" w:hAnsi="微软雅黑" w:eastAsia="微软雅黑"/>
          <w:b/>
        </w:rPr>
        <w:t>楼盘简介：</w:t>
      </w:r>
    </w:p>
    <w:p>
      <w:pPr>
        <w:snapToGrid w:val="0"/>
        <w:spacing w:before="0" w:beforeAutospacing="0" w:line="360" w:lineRule="auto"/>
        <w:ind w:firstLine="420" w:firstLineChars="200"/>
        <w:jc w:val="left"/>
        <w:rPr>
          <w:rFonts w:hint="eastAsia" w:ascii="微软雅黑" w:hAnsi="微软雅黑" w:eastAsia="微软雅黑"/>
          <w:color w:val="333333"/>
          <w:szCs w:val="21"/>
        </w:rPr>
      </w:pPr>
      <w:r>
        <w:rPr>
          <w:rFonts w:hint="eastAsia" w:ascii="微软雅黑" w:hAnsi="微软雅黑" w:eastAsia="微软雅黑"/>
          <w:color w:val="333333"/>
          <w:szCs w:val="21"/>
        </w:rPr>
        <w:t>嘉华嘉誉湾（东莞）坐落于东莞茶山新城中心，</w:t>
      </w:r>
      <w:r>
        <w:rPr>
          <w:rFonts w:hint="eastAsia" w:ascii="微软雅黑" w:hAnsi="微软雅黑" w:eastAsia="微软雅黑"/>
          <w:color w:val="333333"/>
          <w:szCs w:val="21"/>
          <w:lang w:val="en-US" w:eastAsia="zh-CN"/>
        </w:rPr>
        <w:t>项目由15栋高层住宅组成，其中6号楼、7号楼为配建房（共有产权房），该项目共有产权房均为三房两卫户型，面积分别有99.31㎡和110.24㎡共两种户型。项目</w:t>
      </w:r>
      <w:r>
        <w:rPr>
          <w:rFonts w:hint="eastAsia" w:ascii="微软雅黑" w:hAnsi="微软雅黑" w:eastAsia="微软雅黑"/>
          <w:color w:val="333333"/>
          <w:szCs w:val="21"/>
        </w:rPr>
        <w:t>占据主城东大门，项目所在的R2线，1站到东城，6站到东莞的CBD。桑茶快线，只需8分钟即达主城区。除此之外，东莞站更是与广深城际轻轨无缝接驳，连接广州跟深圳两大一线城市。项目总占地约8.8万㎡，建面近20万㎡，居于寒溪河畔，逾600米江景尽收眼底，项目作为双城CLD规划中的核心区域，周边行政、教育、商业、医疗配套一应俱全，便利生活随心所享。</w:t>
      </w:r>
    </w:p>
    <w:p>
      <w:pPr>
        <w:snapToGrid w:val="0"/>
        <w:spacing w:before="0" w:beforeAutospacing="0" w:line="360" w:lineRule="auto"/>
        <w:jc w:val="left"/>
        <w:rPr>
          <w:rFonts w:hint="eastAsia" w:ascii="微软雅黑" w:hAnsi="微软雅黑" w:eastAsia="微软雅黑"/>
          <w:color w:val="333333"/>
          <w:szCs w:val="21"/>
        </w:rPr>
      </w:pPr>
      <w:r>
        <w:rPr>
          <w:rFonts w:hint="eastAsia" w:ascii="宋体" w:hAnsi="宋体" w:eastAsia="宋体" w:cs="宋体"/>
          <w:sz w:val="31"/>
          <w:szCs w:val="31"/>
          <w:lang w:val="en-US" w:eastAsia="zh-CN"/>
        </w:rPr>
        <w:drawing>
          <wp:inline distT="0" distB="0" distL="114300" distR="114300">
            <wp:extent cx="5280660" cy="3053715"/>
            <wp:effectExtent l="0" t="0" r="15240" b="13335"/>
            <wp:docPr id="1" name="图片 1" descr="微信图片_20230720100936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30720100936"/>
                    <pic:cNvPicPr>
                      <a:picLocks noChangeAspect="true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305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before="0" w:beforeAutospacing="0" w:line="360" w:lineRule="auto"/>
        <w:jc w:val="center"/>
        <w:rPr>
          <w:rFonts w:ascii="微软雅黑" w:hAnsi="微软雅黑" w:eastAsia="微软雅黑"/>
          <w:color w:val="333333"/>
          <w:szCs w:val="21"/>
        </w:rPr>
      </w:pPr>
      <w:r>
        <w:drawing>
          <wp:inline distT="0" distB="0" distL="0" distR="0">
            <wp:extent cx="5274310" cy="2966720"/>
            <wp:effectExtent l="0" t="0" r="2540" b="5080"/>
            <wp:docPr id="546339312" name="图片 4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339312" name="图片 4"/>
                    <pic:cNvPicPr>
                      <a:picLocks noChangeAspect="true" noChangeArrowheads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before="0" w:beforeAutospacing="0" w:line="360" w:lineRule="auto"/>
        <w:jc w:val="left"/>
        <w:rPr>
          <w:rFonts w:ascii="微软雅黑" w:hAnsi="微软雅黑" w:eastAsia="微软雅黑"/>
          <w:b/>
          <w:bCs/>
          <w:color w:val="333333"/>
          <w:szCs w:val="21"/>
        </w:rPr>
      </w:pPr>
      <w:r>
        <w:rPr>
          <w:rFonts w:hint="eastAsia" w:ascii="微软雅黑" w:hAnsi="微软雅黑" w:eastAsia="微软雅黑"/>
          <w:b/>
          <w:bCs/>
          <w:color w:val="333333"/>
          <w:szCs w:val="21"/>
        </w:rPr>
        <w:t>【区位价值】</w:t>
      </w:r>
    </w:p>
    <w:p>
      <w:pPr>
        <w:snapToGrid w:val="0"/>
        <w:spacing w:before="0" w:beforeAutospacing="0" w:line="360" w:lineRule="auto"/>
        <w:ind w:firstLine="420" w:firstLineChars="200"/>
        <w:jc w:val="left"/>
        <w:rPr>
          <w:rFonts w:ascii="微软雅黑" w:hAnsi="微软雅黑" w:eastAsia="微软雅黑"/>
          <w:color w:val="333333"/>
          <w:szCs w:val="21"/>
        </w:rPr>
      </w:pPr>
      <w:r>
        <w:rPr>
          <w:rFonts w:hint="eastAsia" w:ascii="微软雅黑" w:hAnsi="微软雅黑" w:eastAsia="微软雅黑"/>
          <w:color w:val="333333"/>
          <w:szCs w:val="21"/>
        </w:rPr>
        <w:t>项目位于茶山，占据城东新城和松山湖副中心的绝佳位置，是圈层人士的优选，茶山是城区、松山湖下一个CLD，依靠西平站TOD、松山湖北站TOD、东莞火车站TOD三大TOD站点连成粤港澳大湾区路网，是城东最具价值的低密生态大盘。</w:t>
      </w:r>
    </w:p>
    <w:p>
      <w:pPr>
        <w:snapToGrid w:val="0"/>
        <w:spacing w:before="0" w:beforeAutospacing="0" w:line="360" w:lineRule="auto"/>
        <w:jc w:val="left"/>
        <w:rPr>
          <w:rFonts w:ascii="微软雅黑" w:hAnsi="微软雅黑" w:eastAsia="微软雅黑"/>
          <w:b/>
          <w:bCs/>
          <w:color w:val="333333"/>
          <w:szCs w:val="21"/>
        </w:rPr>
      </w:pPr>
      <w:r>
        <w:rPr>
          <w:rFonts w:hint="eastAsia" w:ascii="微软雅黑" w:hAnsi="微软雅黑" w:eastAsia="微软雅黑"/>
          <w:b/>
          <w:bCs/>
          <w:color w:val="333333"/>
          <w:szCs w:val="21"/>
        </w:rPr>
        <w:t>【交通价值】</w:t>
      </w:r>
    </w:p>
    <w:p>
      <w:pPr>
        <w:snapToGrid w:val="0"/>
        <w:spacing w:before="0" w:beforeAutospacing="0" w:line="360" w:lineRule="auto"/>
        <w:ind w:firstLine="420" w:firstLineChars="200"/>
        <w:jc w:val="left"/>
        <w:rPr>
          <w:rFonts w:ascii="微软雅黑" w:hAnsi="微软雅黑" w:eastAsia="微软雅黑"/>
          <w:color w:val="333333"/>
          <w:szCs w:val="21"/>
        </w:rPr>
      </w:pPr>
      <w:r>
        <w:rPr>
          <w:rFonts w:hint="eastAsia" w:ascii="微软雅黑" w:hAnsi="微软雅黑" w:eastAsia="微软雅黑"/>
          <w:color w:val="333333"/>
          <w:szCs w:val="21"/>
        </w:rPr>
        <w:t>开通的R2线，5站到东莞龙脉黄旗山，6站到鸿福路站，东莞的CBD，7站到达西平站。除此之外，东莞站更是与广深城际轻轨无缝接驳，连接广州跟深圳两大一线城市，打造了一个立体的粤港澳大湾区交通网络；</w:t>
      </w:r>
    </w:p>
    <w:p>
      <w:pPr>
        <w:snapToGrid w:val="0"/>
        <w:spacing w:before="0" w:beforeAutospacing="0" w:line="360" w:lineRule="auto"/>
        <w:ind w:firstLine="420" w:firstLineChars="200"/>
        <w:jc w:val="left"/>
        <w:rPr>
          <w:rFonts w:ascii="微软雅黑" w:hAnsi="微软雅黑" w:eastAsia="微软雅黑"/>
          <w:color w:val="333333"/>
          <w:szCs w:val="21"/>
        </w:rPr>
      </w:pPr>
      <w:r>
        <w:rPr>
          <w:rFonts w:hint="eastAsia" w:ascii="微软雅黑" w:hAnsi="微软雅黑" w:eastAsia="微软雅黑"/>
          <w:color w:val="333333"/>
          <w:szCs w:val="21"/>
        </w:rPr>
        <w:t>2条高速以及4大主干道：</w:t>
      </w:r>
    </w:p>
    <w:p>
      <w:pPr>
        <w:snapToGrid w:val="0"/>
        <w:spacing w:before="0" w:beforeAutospacing="0" w:line="360" w:lineRule="auto"/>
        <w:ind w:firstLine="420" w:firstLineChars="200"/>
        <w:jc w:val="left"/>
        <w:rPr>
          <w:rFonts w:ascii="微软雅黑" w:hAnsi="微软雅黑" w:eastAsia="微软雅黑"/>
          <w:color w:val="333333"/>
          <w:szCs w:val="21"/>
        </w:rPr>
      </w:pPr>
      <w:r>
        <w:rPr>
          <w:rFonts w:hint="eastAsia" w:ascii="微软雅黑" w:hAnsi="微软雅黑" w:eastAsia="微软雅黑"/>
          <w:color w:val="333333"/>
          <w:szCs w:val="21"/>
        </w:rPr>
        <w:t>高速线路：莞深高速，快速往来东莞、深圳，实现半小时莞深同城；从莞深高速接驳广州、从化到深圳，现已开通广州从化到东莞段（试运行），预计2025年开通深圳段，接驳深圳外环高速，届时从本项目到罗湖中心约45分钟，实现莞深同城一小时生活圈。</w:t>
      </w:r>
    </w:p>
    <w:p>
      <w:pPr>
        <w:snapToGrid w:val="0"/>
        <w:spacing w:before="0" w:beforeAutospacing="0" w:line="360" w:lineRule="auto"/>
        <w:ind w:firstLine="420" w:firstLineChars="200"/>
        <w:jc w:val="left"/>
        <w:rPr>
          <w:rFonts w:ascii="微软雅黑" w:hAnsi="微软雅黑" w:eastAsia="微软雅黑"/>
          <w:color w:val="333333"/>
          <w:szCs w:val="21"/>
        </w:rPr>
      </w:pPr>
      <w:r>
        <w:rPr>
          <w:rFonts w:hint="eastAsia" w:ascii="微软雅黑" w:hAnsi="微软雅黑" w:eastAsia="微软雅黑"/>
          <w:color w:val="333333"/>
          <w:szCs w:val="21"/>
        </w:rPr>
        <w:t>快速线路：桑茶快线，8分钟可直达东城万达；项目出发5分钟内即可上东部快速，20分钟直达主城区，10分钟内即可通达周边镇区。沿莞龙路，连接东莞城区，15分钟即可到达东城区；而且项目门口就是石大路，开车25分钟就可以到达松山湖，生态休闲生活轻松享受</w:t>
      </w:r>
      <w:r>
        <w:rPr>
          <w:rFonts w:hint="eastAsia" w:ascii="微软雅黑" w:hAnsi="微软雅黑" w:eastAsia="微软雅黑"/>
          <w:color w:val="333333"/>
          <w:szCs w:val="21"/>
          <w:lang w:eastAsia="zh-CN"/>
        </w:rPr>
        <w:t>。</w:t>
      </w:r>
      <w:r>
        <w:t xml:space="preserve"> </w:t>
      </w:r>
      <w:r>
        <w:drawing>
          <wp:inline distT="0" distB="0" distL="0" distR="0">
            <wp:extent cx="5274310" cy="3074670"/>
            <wp:effectExtent l="0" t="0" r="2540" b="0"/>
            <wp:docPr id="1142942450" name="图片 3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942450" name="图片 3"/>
                    <pic:cNvPicPr>
                      <a:picLocks noChangeAspect="true" noChangeArrowheads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before="0" w:beforeAutospacing="0" w:line="360" w:lineRule="auto"/>
        <w:jc w:val="left"/>
        <w:rPr>
          <w:rFonts w:ascii="微软雅黑" w:hAnsi="微软雅黑" w:eastAsia="微软雅黑"/>
          <w:b/>
          <w:bCs/>
          <w:color w:val="333333"/>
          <w:szCs w:val="21"/>
        </w:rPr>
      </w:pPr>
      <w:r>
        <w:rPr>
          <w:rFonts w:hint="eastAsia" w:ascii="微软雅黑" w:hAnsi="微软雅黑" w:eastAsia="微软雅黑"/>
          <w:b/>
          <w:bCs/>
          <w:color w:val="333333"/>
          <w:szCs w:val="21"/>
        </w:rPr>
        <w:t>【环境价值】</w:t>
      </w:r>
    </w:p>
    <w:p>
      <w:pPr>
        <w:snapToGrid w:val="0"/>
        <w:spacing w:before="0" w:beforeAutospacing="0" w:line="360" w:lineRule="auto"/>
        <w:ind w:firstLine="420" w:firstLineChars="200"/>
        <w:jc w:val="left"/>
        <w:rPr>
          <w:rFonts w:ascii="微软雅黑" w:hAnsi="微软雅黑" w:eastAsia="微软雅黑"/>
          <w:color w:val="333333"/>
          <w:szCs w:val="21"/>
        </w:rPr>
      </w:pPr>
      <w:r>
        <w:rPr>
          <w:rFonts w:hint="eastAsia" w:ascii="微软雅黑" w:hAnsi="微软雅黑" w:eastAsia="微软雅黑"/>
          <w:color w:val="333333"/>
          <w:szCs w:val="21"/>
        </w:rPr>
        <w:t>10分钟即可到达生态园和松山湖风景区，15分钟到榴花公园，30分钟即可到同沙-佛灵湖生态公园，享受绝无仅有的生态生活。项目旁带有4.9万㎡新城公园，同时紧邻茶山的母亲河——寒溪河，江面宽达600m，在享受城市繁华的同时，又可以欣赏到一线的江景资源，享受河畔与公园式双重誉</w:t>
      </w:r>
      <w:r>
        <w:rPr>
          <w:rFonts w:hint="eastAsia" w:ascii="微软雅黑" w:hAnsi="微软雅黑" w:eastAsia="微软雅黑"/>
          <w:color w:val="333333"/>
          <w:szCs w:val="21"/>
          <w:lang w:eastAsia="zh-CN"/>
        </w:rPr>
        <w:t>湾</w:t>
      </w:r>
      <w:r>
        <w:rPr>
          <w:rFonts w:hint="eastAsia" w:ascii="微软雅黑" w:hAnsi="微软雅黑" w:eastAsia="微软雅黑"/>
          <w:color w:val="333333"/>
          <w:szCs w:val="21"/>
        </w:rPr>
        <w:t>品质生活。</w:t>
      </w:r>
    </w:p>
    <w:p>
      <w:pPr>
        <w:snapToGrid w:val="0"/>
        <w:spacing w:before="0" w:beforeAutospacing="0" w:line="360" w:lineRule="auto"/>
        <w:jc w:val="left"/>
        <w:rPr>
          <w:rFonts w:ascii="微软雅黑" w:hAnsi="微软雅黑" w:eastAsia="微软雅黑"/>
          <w:color w:val="333333"/>
          <w:szCs w:val="21"/>
        </w:rPr>
      </w:pPr>
      <w:r>
        <w:drawing>
          <wp:inline distT="0" distB="0" distL="0" distR="0">
            <wp:extent cx="5274310" cy="2964815"/>
            <wp:effectExtent l="0" t="0" r="2540" b="6985"/>
            <wp:docPr id="1091427193" name="图片 6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427193" name="图片 6"/>
                    <pic:cNvPicPr>
                      <a:picLocks noChangeAspect="true" noChangeArrowheads="true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before="0" w:beforeAutospacing="0" w:line="360" w:lineRule="auto"/>
        <w:jc w:val="left"/>
        <w:rPr>
          <w:rFonts w:hint="eastAsia" w:ascii="微软雅黑" w:hAnsi="微软雅黑" w:eastAsia="微软雅黑"/>
          <w:color w:val="333333"/>
          <w:szCs w:val="21"/>
        </w:rPr>
      </w:pPr>
      <w:r>
        <w:drawing>
          <wp:inline distT="0" distB="0" distL="0" distR="0">
            <wp:extent cx="5274310" cy="3084830"/>
            <wp:effectExtent l="0" t="0" r="2540" b="1270"/>
            <wp:docPr id="1085132910" name="图片 7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132910" name="图片 7"/>
                    <pic:cNvPicPr>
                      <a:picLocks noChangeAspect="true" noChangeArrowheads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before="0" w:beforeAutospacing="0" w:line="360" w:lineRule="auto"/>
        <w:jc w:val="left"/>
        <w:rPr>
          <w:rFonts w:ascii="微软雅黑" w:hAnsi="微软雅黑" w:eastAsia="微软雅黑"/>
          <w:b/>
          <w:bCs/>
          <w:color w:val="333333"/>
          <w:szCs w:val="21"/>
        </w:rPr>
      </w:pPr>
      <w:r>
        <w:rPr>
          <w:rFonts w:hint="eastAsia" w:ascii="微软雅黑" w:hAnsi="微软雅黑" w:eastAsia="微软雅黑"/>
          <w:b/>
          <w:bCs/>
          <w:color w:val="333333"/>
          <w:szCs w:val="21"/>
        </w:rPr>
        <w:t>【配套价值】</w:t>
      </w:r>
    </w:p>
    <w:p>
      <w:pPr>
        <w:snapToGrid w:val="0"/>
        <w:spacing w:before="0" w:beforeAutospacing="0" w:line="360" w:lineRule="auto"/>
        <w:ind w:firstLine="420" w:firstLineChars="200"/>
        <w:jc w:val="left"/>
        <w:rPr>
          <w:rFonts w:ascii="微软雅黑" w:hAnsi="微软雅黑" w:eastAsia="微软雅黑"/>
          <w:color w:val="333333"/>
          <w:szCs w:val="21"/>
        </w:rPr>
      </w:pPr>
      <w:r>
        <w:rPr>
          <w:rFonts w:hint="eastAsia" w:ascii="微软雅黑" w:hAnsi="微软雅黑" w:eastAsia="微软雅黑"/>
          <w:color w:val="333333"/>
          <w:szCs w:val="21"/>
        </w:rPr>
        <w:t>项目周边的配套成熟又完善，集行政，商业，教育，医疗等于一体</w:t>
      </w:r>
    </w:p>
    <w:p>
      <w:pPr>
        <w:snapToGrid w:val="0"/>
        <w:spacing w:before="0" w:beforeAutospacing="0" w:line="360" w:lineRule="auto"/>
        <w:ind w:firstLine="420" w:firstLineChars="200"/>
        <w:jc w:val="left"/>
        <w:rPr>
          <w:rFonts w:ascii="微软雅黑" w:hAnsi="微软雅黑" w:eastAsia="微软雅黑"/>
          <w:color w:val="333333"/>
          <w:szCs w:val="21"/>
        </w:rPr>
      </w:pPr>
      <w:r>
        <w:rPr>
          <w:rFonts w:hint="eastAsia" w:ascii="微软雅黑" w:hAnsi="微软雅黑" w:eastAsia="微软雅黑"/>
          <w:color w:val="333333"/>
          <w:szCs w:val="21"/>
        </w:rPr>
        <w:t xml:space="preserve">行政：项目周边包含茶山体育馆，东莞市图书馆茶山分馆，茶山文化广场，茶山综合服务中心办事大厅，轻松享受市政配套； </w:t>
      </w:r>
    </w:p>
    <w:p>
      <w:pPr>
        <w:snapToGrid w:val="0"/>
        <w:spacing w:before="0" w:beforeAutospacing="0" w:line="360" w:lineRule="auto"/>
        <w:ind w:firstLine="420" w:firstLineChars="200"/>
        <w:jc w:val="left"/>
        <w:rPr>
          <w:rFonts w:ascii="微软雅黑" w:hAnsi="微软雅黑" w:eastAsia="微软雅黑"/>
          <w:color w:val="333333"/>
          <w:szCs w:val="21"/>
        </w:rPr>
      </w:pPr>
      <w:r>
        <w:rPr>
          <w:rFonts w:hint="eastAsia" w:ascii="微软雅黑" w:hAnsi="微软雅黑" w:eastAsia="微软雅黑"/>
          <w:color w:val="333333"/>
          <w:szCs w:val="21"/>
        </w:rPr>
        <w:t xml:space="preserve">商业：坐地铁前往东莞最繁华的东城万达世博商圈、鸿福商圈仅需15分钟，让您享受东莞最高端、繁盛的都市生活。而且项目周边配套也十分丰富，龙珠商业广场、嘉荣广场、喜悦里购物广场等，完全可以满足一家人的生活需求，实现一站式生活； </w:t>
      </w:r>
    </w:p>
    <w:p>
      <w:pPr>
        <w:snapToGrid w:val="0"/>
        <w:spacing w:before="0" w:beforeAutospacing="0" w:line="360" w:lineRule="auto"/>
        <w:ind w:firstLine="420" w:firstLineChars="200"/>
        <w:jc w:val="left"/>
        <w:rPr>
          <w:rFonts w:ascii="微软雅黑" w:hAnsi="微软雅黑" w:eastAsia="微软雅黑"/>
          <w:color w:val="333333"/>
          <w:szCs w:val="21"/>
        </w:rPr>
      </w:pPr>
      <w:r>
        <w:rPr>
          <w:rFonts w:hint="eastAsia" w:ascii="微软雅黑" w:hAnsi="微软雅黑" w:eastAsia="微软雅黑"/>
          <w:color w:val="333333"/>
          <w:szCs w:val="21"/>
        </w:rPr>
        <w:t xml:space="preserve">教育：周边名校林立，幼儿园、小学、中学等市一级名校环绕，一站式12年教育无忧！距离项目5分钟，有区域内最好的香港凯迪弘佳幼儿园和茶山中心小学；项目周边有茶山中学、光正实验学校，东华学校等优质中学，满足全方位的教育需求；东华学校，创办于2001年8月，是一所民办公助性质的全日制寄宿学校，是东莞市教育局办学体制改革的试点单位，是广东省规模最大的民办高中。师资力量十分雄厚，高考升重本率，常年居东莞市第一，分校区也在生态园设立启用； </w:t>
      </w:r>
    </w:p>
    <w:p>
      <w:pPr>
        <w:snapToGrid w:val="0"/>
        <w:spacing w:before="0" w:beforeAutospacing="0" w:line="360" w:lineRule="auto"/>
        <w:ind w:firstLine="420" w:firstLineChars="200"/>
        <w:jc w:val="left"/>
        <w:rPr>
          <w:rFonts w:hint="eastAsia" w:ascii="微软雅黑" w:hAnsi="微软雅黑" w:eastAsia="微软雅黑"/>
          <w:color w:val="333333"/>
          <w:szCs w:val="21"/>
          <w:lang w:eastAsia="zh-CN"/>
        </w:rPr>
      </w:pPr>
      <w:r>
        <w:rPr>
          <w:rFonts w:hint="eastAsia" w:ascii="微软雅黑" w:hAnsi="微软雅黑" w:eastAsia="微软雅黑"/>
          <w:color w:val="333333"/>
          <w:szCs w:val="21"/>
        </w:rPr>
        <w:t>医疗：项目周边有茶山医院、茶山信德医院等，15分钟到东华医院、妇幼保健院，医疗配套齐全，全面保障健康</w:t>
      </w:r>
      <w:r>
        <w:rPr>
          <w:rFonts w:hint="eastAsia" w:ascii="微软雅黑" w:hAnsi="微软雅黑" w:eastAsia="微软雅黑"/>
          <w:color w:val="333333"/>
          <w:szCs w:val="21"/>
          <w:lang w:eastAsia="zh-CN"/>
        </w:rPr>
        <w:t>。</w:t>
      </w:r>
    </w:p>
    <w:p>
      <w:pPr>
        <w:snapToGrid w:val="0"/>
        <w:spacing w:before="0" w:beforeAutospacing="0" w:line="360" w:lineRule="auto"/>
        <w:rPr>
          <w:rFonts w:hint="eastAsia" w:ascii="微软雅黑" w:hAnsi="微软雅黑" w:eastAsia="微软雅黑"/>
          <w:color w:val="333333"/>
          <w:szCs w:val="21"/>
        </w:rPr>
      </w:pPr>
      <w:r>
        <w:drawing>
          <wp:inline distT="0" distB="0" distL="0" distR="0">
            <wp:extent cx="5588635" cy="3983355"/>
            <wp:effectExtent l="0" t="0" r="0" b="0"/>
            <wp:docPr id="2042637640" name="图片 1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637640" name="图片 1"/>
                    <pic:cNvPicPr>
                      <a:picLocks noChangeAspect="true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88635" cy="398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 w:val="0"/>
        <w:spacing w:before="0" w:beforeAutospacing="0" w:line="360" w:lineRule="auto"/>
        <w:jc w:val="left"/>
        <w:rPr>
          <w:rFonts w:ascii="微软雅黑" w:hAnsi="微软雅黑" w:eastAsia="微软雅黑"/>
          <w:b/>
          <w:bCs/>
          <w:color w:val="333333"/>
          <w:szCs w:val="21"/>
        </w:rPr>
      </w:pPr>
      <w:r>
        <w:rPr>
          <w:rFonts w:hint="eastAsia" w:ascii="微软雅黑" w:hAnsi="微软雅黑" w:eastAsia="微软雅黑"/>
          <w:b/>
          <w:bCs/>
          <w:color w:val="333333"/>
          <w:szCs w:val="21"/>
        </w:rPr>
        <w:t>【园林景观】</w:t>
      </w:r>
    </w:p>
    <w:p>
      <w:pPr>
        <w:snapToGrid w:val="0"/>
        <w:spacing w:before="0" w:beforeAutospacing="0" w:line="360" w:lineRule="auto"/>
        <w:ind w:firstLine="420" w:firstLineChars="200"/>
        <w:jc w:val="left"/>
        <w:rPr>
          <w:rFonts w:ascii="微软雅黑" w:hAnsi="微软雅黑" w:eastAsia="微软雅黑"/>
          <w:color w:val="333333"/>
          <w:szCs w:val="21"/>
        </w:rPr>
      </w:pPr>
      <w:r>
        <w:rPr>
          <w:rFonts w:hint="eastAsia" w:ascii="微软雅黑" w:hAnsi="微软雅黑" w:eastAsia="微软雅黑"/>
          <w:color w:val="333333"/>
          <w:szCs w:val="21"/>
        </w:rPr>
        <w:t>整个园林设计理念是从项目高品质定位出发，提倡誉湾生活方式，现代时尚，精致高端，充满活力与乐趣，亲近自然。为此打造了7.5万㎡超大园林（相当于10个标准足球场），小区绿化率高达43%，并且设计有东西两区双重中心主题景观。东区主打的是度假式景观，设计有360°的中心园景，西区则主打的是生活场景化景观，设计有休闲空间与亲子乐园两大生活情景景观。除此之外，考虑到大部分业主对美的追求，在园林的各个区域都设计有双重绿植景观，选择不同品种的植物花卉，让小区一年四季常青四季有景的全生命周期景观，景观空间虚实变化，移步换景，充满自然野趣。</w:t>
      </w:r>
    </w:p>
    <w:p>
      <w:pPr>
        <w:snapToGrid w:val="0"/>
        <w:spacing w:before="0" w:beforeAutospacing="0" w:line="360" w:lineRule="auto"/>
        <w:jc w:val="left"/>
        <w:rPr>
          <w:rFonts w:hint="eastAsia" w:ascii="微软雅黑" w:hAnsi="微软雅黑" w:eastAsia="微软雅黑"/>
          <w:color w:val="333333"/>
          <w:szCs w:val="21"/>
        </w:rPr>
      </w:pPr>
      <w:r>
        <w:drawing>
          <wp:inline distT="0" distB="0" distL="0" distR="0">
            <wp:extent cx="5274310" cy="2964815"/>
            <wp:effectExtent l="0" t="0" r="2540" b="6985"/>
            <wp:docPr id="288553630" name="图片 5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553630" name="图片 5"/>
                    <pic:cNvPicPr>
                      <a:picLocks noChangeAspect="true" noChangeArrowheads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before="0" w:beforeAutospacing="0" w:line="360" w:lineRule="auto"/>
        <w:jc w:val="left"/>
        <w:rPr>
          <w:rFonts w:ascii="微软雅黑" w:hAnsi="微软雅黑" w:eastAsia="微软雅黑"/>
          <w:b/>
          <w:bCs/>
          <w:color w:val="333333"/>
          <w:szCs w:val="21"/>
        </w:rPr>
      </w:pPr>
      <w:r>
        <w:rPr>
          <w:rFonts w:hint="eastAsia" w:ascii="微软雅黑" w:hAnsi="微软雅黑" w:eastAsia="微软雅黑"/>
          <w:b/>
          <w:bCs/>
          <w:color w:val="333333"/>
          <w:szCs w:val="21"/>
        </w:rPr>
        <w:t>【社区配套】</w:t>
      </w:r>
    </w:p>
    <w:p>
      <w:pPr>
        <w:snapToGrid w:val="0"/>
        <w:spacing w:before="0" w:beforeAutospacing="0" w:line="360" w:lineRule="auto"/>
        <w:ind w:firstLine="420" w:firstLineChars="200"/>
        <w:jc w:val="left"/>
        <w:rPr>
          <w:rFonts w:ascii="微软雅黑" w:hAnsi="微软雅黑" w:eastAsia="微软雅黑"/>
          <w:color w:val="333333"/>
          <w:szCs w:val="21"/>
        </w:rPr>
      </w:pPr>
      <w:r>
        <w:rPr>
          <w:rFonts w:hint="eastAsia" w:ascii="微软雅黑" w:hAnsi="微软雅黑" w:eastAsia="微软雅黑"/>
          <w:color w:val="333333"/>
          <w:szCs w:val="21"/>
        </w:rPr>
        <w:t>整个小区规划有多个休闲平台，能让业主有足够的休闲放松空间。而在东区则主要以50米超长全龄化泳池为核心打造的景观，并且配以阳光草坪，特色水景以及景观廊架，营造出浓厚的度假式氛围，下楼即可享受度假式的休闲生活，放松心情。而在西区则规划有邻里会客厅，增强邻里间的交流，营造和谐美好的邻里生活。同时还有亲子乐园、篮球场、康体乐园等全龄化配套设施，不管是小孩、大人、还是家里的老人都充足的休闲锻炼场所。除此之外，现代人非常注重健康，为此特意设计了环整个小区的健康跑道，让业主可以慢跑锻炼身体，也可以饭后漫步整个小区，欣赏小区的优美景观。</w:t>
      </w:r>
    </w:p>
    <w:p>
      <w:pPr>
        <w:snapToGrid w:val="0"/>
        <w:spacing w:before="0" w:beforeAutospacing="0" w:line="360" w:lineRule="auto"/>
        <w:jc w:val="left"/>
        <w:rPr>
          <w:rFonts w:ascii="微软雅黑" w:hAnsi="微软雅黑" w:eastAsia="微软雅黑"/>
          <w:color w:val="333333"/>
          <w:szCs w:val="21"/>
        </w:rPr>
      </w:pPr>
      <w:r>
        <w:drawing>
          <wp:inline distT="0" distB="0" distL="0" distR="0">
            <wp:extent cx="5274310" cy="2971165"/>
            <wp:effectExtent l="0" t="0" r="2540" b="635"/>
            <wp:docPr id="104802679" name="图片 8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02679" name="图片 8"/>
                    <pic:cNvPicPr>
                      <a:picLocks noChangeAspect="true" noChangeArrowheads="true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before="0" w:beforeAutospacing="0" w:line="360" w:lineRule="auto"/>
        <w:jc w:val="left"/>
        <w:rPr>
          <w:rFonts w:hint="eastAsia" w:ascii="微软雅黑" w:hAnsi="微软雅黑" w:eastAsia="微软雅黑"/>
          <w:color w:val="333333"/>
          <w:szCs w:val="21"/>
        </w:rPr>
      </w:pPr>
      <w:r>
        <w:drawing>
          <wp:inline distT="0" distB="0" distL="0" distR="0">
            <wp:extent cx="5274310" cy="2964815"/>
            <wp:effectExtent l="0" t="0" r="2540" b="6985"/>
            <wp:docPr id="1646362523" name="图片 9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362523" name="图片 9"/>
                    <pic:cNvPicPr>
                      <a:picLocks noChangeAspect="true" noChangeArrowheads="true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before="0" w:beforeAutospacing="0" w:line="360" w:lineRule="auto"/>
        <w:jc w:val="left"/>
        <w:rPr>
          <w:rFonts w:ascii="微软雅黑" w:hAnsi="微软雅黑" w:eastAsia="微软雅黑"/>
          <w:b/>
          <w:bCs/>
          <w:color w:val="333333"/>
          <w:szCs w:val="21"/>
        </w:rPr>
      </w:pPr>
      <w:r>
        <w:rPr>
          <w:rFonts w:hint="eastAsia" w:ascii="微软雅黑" w:hAnsi="微软雅黑" w:eastAsia="微软雅黑"/>
          <w:b/>
          <w:bCs/>
          <w:color w:val="333333"/>
          <w:szCs w:val="21"/>
        </w:rPr>
        <w:t>【生活配套】</w:t>
      </w:r>
    </w:p>
    <w:p>
      <w:pPr>
        <w:snapToGrid w:val="0"/>
        <w:spacing w:before="0" w:beforeAutospacing="0" w:line="360" w:lineRule="auto"/>
        <w:ind w:firstLine="420" w:firstLineChars="200"/>
        <w:jc w:val="left"/>
        <w:rPr>
          <w:rFonts w:ascii="微软雅黑" w:hAnsi="微软雅黑" w:eastAsia="微软雅黑"/>
          <w:color w:val="333333"/>
          <w:szCs w:val="21"/>
        </w:rPr>
      </w:pPr>
      <w:r>
        <w:rPr>
          <w:rFonts w:hint="eastAsia" w:ascii="微软雅黑" w:hAnsi="微软雅黑" w:eastAsia="微软雅黑"/>
          <w:color w:val="333333"/>
          <w:szCs w:val="21"/>
        </w:rPr>
        <w:t>小区是自带18班幼儿园的，幼儿园位于项目的西侧，对于小孩上下学接送非常的方便，并且也更为安全。同时在小区的东侧则是商铺，以后随着便利店，生活超市等一些店铺的进驻，购买日常生活必需品也是同样的便利。</w:t>
      </w:r>
    </w:p>
    <w:p>
      <w:pPr>
        <w:pStyle w:val="11"/>
        <w:snapToGrid w:val="0"/>
        <w:spacing w:line="360" w:lineRule="auto"/>
        <w:ind w:firstLine="0"/>
        <w:jc w:val="left"/>
        <w:rPr>
          <w:rFonts w:ascii="微软雅黑" w:hAnsi="微软雅黑" w:eastAsia="微软雅黑" w:cstheme="minorBidi"/>
          <w:b/>
          <w:bCs/>
          <w:color w:val="333333"/>
        </w:rPr>
      </w:pPr>
      <w:r>
        <w:rPr>
          <w:rFonts w:hint="eastAsia" w:ascii="微软雅黑" w:hAnsi="微软雅黑" w:eastAsia="微软雅黑" w:cstheme="minorBidi"/>
          <w:b/>
          <w:bCs/>
          <w:color w:val="333333"/>
        </w:rPr>
        <w:t>【产品介绍】</w:t>
      </w:r>
    </w:p>
    <w:p>
      <w:pPr>
        <w:tabs>
          <w:tab w:val="left" w:pos="96"/>
        </w:tabs>
        <w:snapToGrid w:val="0"/>
        <w:spacing w:before="0" w:beforeAutospacing="0" w:line="360" w:lineRule="auto"/>
        <w:ind w:firstLine="420" w:firstLineChars="200"/>
        <w:jc w:val="left"/>
        <w:rPr>
          <w:rFonts w:ascii="微软雅黑" w:hAnsi="微软雅黑" w:eastAsia="微软雅黑"/>
          <w:color w:val="333333"/>
          <w:szCs w:val="21"/>
        </w:rPr>
      </w:pPr>
      <w:r>
        <w:rPr>
          <w:rFonts w:hint="eastAsia" w:ascii="微软雅黑" w:hAnsi="微软雅黑" w:eastAsia="微软雅黑"/>
          <w:color w:val="333333"/>
          <w:szCs w:val="21"/>
        </w:rPr>
        <w:t>项目总户数1348户，全为两梯四户设计，最高25层，并且纯朝南向，100%户型主阳台朝南，南北通透，最宽7米主阳台，视野开阔，景观无遮挡，实现180°永久江景；并且全精装交付，电梯入户大堂更是用全石材打造，高档次，高品质。全屋装修采用行业龙头品牌，全方位居家考虑，打造行业最高标准。</w:t>
      </w:r>
    </w:p>
    <w:p>
      <w:pPr>
        <w:snapToGrid w:val="0"/>
        <w:spacing w:before="0" w:beforeAutospacing="0" w:line="360" w:lineRule="auto"/>
        <w:jc w:val="left"/>
        <w:rPr>
          <w:rFonts w:ascii="微软雅黑" w:hAnsi="微软雅黑" w:eastAsia="微软雅黑"/>
          <w:highlight w:val="yellow"/>
        </w:rPr>
      </w:pPr>
      <w:r>
        <w:drawing>
          <wp:inline distT="0" distB="0" distL="0" distR="0">
            <wp:extent cx="5274310" cy="2966720"/>
            <wp:effectExtent l="0" t="0" r="2540" b="5080"/>
            <wp:docPr id="1476740422" name="图片 10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740422" name="图片 10"/>
                    <pic:cNvPicPr>
                      <a:picLocks noChangeAspect="true" noChangeArrowheads="true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false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Times New Roman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2000609000000000000"/>
    <w:charset w:val="02"/>
    <w:family w:val="roman"/>
    <w:pitch w:val="default"/>
    <w:sig w:usb0="800000AF" w:usb1="4000204A" w:usb2="00000000" w:usb3="00000000" w:csb0="2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微软雅黑">
    <w:altName w:val="黑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Batang">
    <w:altName w:val="NanumMyeongjo"/>
    <w:panose1 w:val="02030600000101010101"/>
    <w:charset w:val="81"/>
    <w:family w:val="roman"/>
    <w:pitch w:val="default"/>
    <w:sig w:usb0="00000000" w:usb1="00000000" w:usb2="00000030" w:usb3="00000000" w:csb0="4008009F" w:csb1="DFD70000"/>
  </w:font>
  <w:font w:name="方正书宋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方正宋体S-超大字符集">
    <w:panose1 w:val="02000000000000000000"/>
    <w:charset w:val="86"/>
    <w:family w:val="auto"/>
    <w:pitch w:val="default"/>
    <w:sig w:usb0="00000001" w:usb1="08000000" w:usb2="0000000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true"/>
  <w:bordersDoNotSurroundFooter w:val="true"/>
  <w:revisionView w:markup="0"/>
  <w:trackRevisions w:val="true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TBhNGFiYTQwZTNiZDZlNWJlYWZhNzUzZGU0N2RjNzEifQ=="/>
  </w:docVars>
  <w:rsids>
    <w:rsidRoot w:val="00677618"/>
    <w:rsid w:val="00102B2B"/>
    <w:rsid w:val="00155BC0"/>
    <w:rsid w:val="001D3482"/>
    <w:rsid w:val="002A1684"/>
    <w:rsid w:val="003041C6"/>
    <w:rsid w:val="00324499"/>
    <w:rsid w:val="00340D5C"/>
    <w:rsid w:val="003D7C79"/>
    <w:rsid w:val="004C22E5"/>
    <w:rsid w:val="006665AC"/>
    <w:rsid w:val="00677618"/>
    <w:rsid w:val="006F28DB"/>
    <w:rsid w:val="00767683"/>
    <w:rsid w:val="007D12AF"/>
    <w:rsid w:val="0084491A"/>
    <w:rsid w:val="008668A7"/>
    <w:rsid w:val="00941F03"/>
    <w:rsid w:val="009F5459"/>
    <w:rsid w:val="00A44418"/>
    <w:rsid w:val="00BC5836"/>
    <w:rsid w:val="00C4581C"/>
    <w:rsid w:val="00CC52D5"/>
    <w:rsid w:val="00D7454F"/>
    <w:rsid w:val="00D8012E"/>
    <w:rsid w:val="00DB0F5C"/>
    <w:rsid w:val="00E31947"/>
    <w:rsid w:val="00F474C3"/>
    <w:rsid w:val="0AFF9A17"/>
    <w:rsid w:val="1A425A02"/>
    <w:rsid w:val="23154ADF"/>
    <w:rsid w:val="2E5D1D58"/>
    <w:rsid w:val="32CF2980"/>
    <w:rsid w:val="35344C60"/>
    <w:rsid w:val="36F2614B"/>
    <w:rsid w:val="3CA33187"/>
    <w:rsid w:val="4A3C6CA3"/>
    <w:rsid w:val="534D27CC"/>
    <w:rsid w:val="5E08124A"/>
    <w:rsid w:val="6BFD5C0F"/>
    <w:rsid w:val="7BAA601B"/>
    <w:rsid w:val="7EE78E59"/>
    <w:rsid w:val="B2DDE8E8"/>
    <w:rsid w:val="B79F7F16"/>
    <w:rsid w:val="BBB6CC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before="100" w:beforeAutospacing="1" w:line="360" w:lineRule="exact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0"/>
    <w:unhideWhenUsed/>
    <w:qFormat/>
    <w:uiPriority w:val="99"/>
    <w:pPr>
      <w:spacing w:before="0" w:beforeAutospacing="0" w:line="240" w:lineRule="auto"/>
      <w:jc w:val="left"/>
    </w:pPr>
    <w:rPr>
      <w:rFonts w:ascii="Calibri" w:hAnsi="Calibri" w:eastAsia="宋体" w:cs="Times New Roman"/>
    </w:rPr>
  </w:style>
  <w:style w:type="paragraph" w:styleId="3">
    <w:name w:val="Balloon Text"/>
    <w:basedOn w:val="1"/>
    <w:link w:val="8"/>
    <w:semiHidden/>
    <w:unhideWhenUsed/>
    <w:qFormat/>
    <w:uiPriority w:val="99"/>
    <w:pPr>
      <w:spacing w:before="0" w:line="240" w:lineRule="auto"/>
    </w:pPr>
    <w:rPr>
      <w:sz w:val="18"/>
      <w:szCs w:val="18"/>
    </w:rPr>
  </w:style>
  <w:style w:type="paragraph" w:styleId="4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paragraph" w:styleId="5">
    <w:name w:val="head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8">
    <w:name w:val="批注框文本 字符"/>
    <w:basedOn w:val="7"/>
    <w:link w:val="3"/>
    <w:semiHidden/>
    <w:qFormat/>
    <w:uiPriority w:val="99"/>
    <w:rPr>
      <w:sz w:val="18"/>
      <w:szCs w:val="18"/>
    </w:rPr>
  </w:style>
  <w:style w:type="paragraph" w:styleId="9">
    <w:name w:val="List Paragraph"/>
    <w:basedOn w:val="1"/>
    <w:qFormat/>
    <w:uiPriority w:val="34"/>
    <w:pPr>
      <w:spacing w:before="0" w:beforeAutospacing="0" w:line="240" w:lineRule="auto"/>
      <w:ind w:firstLine="420" w:firstLineChars="200"/>
    </w:pPr>
    <w:rPr>
      <w:rFonts w:ascii="Calibri" w:hAnsi="Calibri" w:eastAsia="宋体" w:cs="Times New Roman"/>
    </w:rPr>
  </w:style>
  <w:style w:type="character" w:customStyle="1" w:styleId="10">
    <w:name w:val="批注文字 字符"/>
    <w:basedOn w:val="7"/>
    <w:link w:val="2"/>
    <w:qFormat/>
    <w:uiPriority w:val="99"/>
    <w:rPr>
      <w:rFonts w:ascii="Calibri" w:hAnsi="Calibri" w:eastAsia="宋体" w:cs="Times New Roman"/>
      <w:kern w:val="2"/>
      <w:sz w:val="21"/>
      <w:szCs w:val="22"/>
    </w:rPr>
  </w:style>
  <w:style w:type="paragraph" w:customStyle="1" w:styleId="11">
    <w:name w:val="列出段落1"/>
    <w:qFormat/>
    <w:uiPriority w:val="34"/>
    <w:pPr>
      <w:widowControl w:val="0"/>
      <w:ind w:firstLine="420"/>
      <w:jc w:val="both"/>
    </w:pPr>
    <w:rPr>
      <w:rFonts w:ascii="Calibri" w:hAnsi="Calibri" w:eastAsia="Calibri" w:cs="Calibri"/>
      <w:color w:val="000000"/>
      <w:kern w:val="2"/>
      <w:sz w:val="21"/>
      <w:szCs w:val="21"/>
      <w:u w:color="000000"/>
      <w:lang w:val="en-US" w:eastAsia="zh-CN" w:bidi="ar-SA"/>
    </w:rPr>
  </w:style>
  <w:style w:type="character" w:customStyle="1" w:styleId="12">
    <w:name w:val="页眉 字符"/>
    <w:basedOn w:val="7"/>
    <w:link w:val="5"/>
    <w:qFormat/>
    <w:uiPriority w:val="99"/>
    <w:rPr>
      <w:kern w:val="2"/>
      <w:sz w:val="18"/>
      <w:szCs w:val="18"/>
    </w:rPr>
  </w:style>
  <w:style w:type="character" w:customStyle="1" w:styleId="13">
    <w:name w:val="页脚 字符"/>
    <w:basedOn w:val="7"/>
    <w:link w:val="4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true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false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9</Pages>
  <Words>2236</Words>
  <Characters>2336</Characters>
  <Lines>18</Lines>
  <Paragraphs>5</Paragraphs>
  <TotalTime>19</TotalTime>
  <ScaleCrop>false</ScaleCrop>
  <LinksUpToDate>false</LinksUpToDate>
  <CharactersWithSpaces>2338</CharactersWithSpaces>
  <Application>WPS Office_11.8.2.10422_F1E327BC-269C-435d-A152-05C5408002CA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2023-07-26T03:30:00Z</dcterms:created>
  <dc:creator>Administrator</dc:creator>
  <cp:lastModifiedBy>uos</cp:lastModifiedBy>
  <dcterms:modified xsi:type="dcterms:W3CDTF">2024-12-19T11:09:57Z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2052-11.8.2.10422</vt:lpwstr>
  </property>
  <property fmtid="{D5CDD505-2E9C-101B-9397-08002B2CF9AE}" pid="3" name="ICV">
    <vt:lpwstr>A6883D10924740BFAA78DD91E1A606A3_13</vt:lpwstr>
  </property>
</Properties>
</file>