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137F">
      <w:pPr>
        <w:pStyle w:val="3"/>
        <w:ind w:firstLine="272" w:firstLineChars="62"/>
        <w:jc w:val="center"/>
        <w:rPr>
          <w:rFonts w:hint="default" w:ascii="Times New Roman" w:hAnsi="Times New Roman" w:cs="Times New Roman"/>
        </w:rPr>
      </w:pPr>
      <w:r>
        <w:rPr>
          <w:rFonts w:hint="default" w:ascii="Times New Roman" w:hAnsi="Times New Roman" w:eastAsia="方正小标宋简体" w:cs="Times New Roman"/>
          <w:sz w:val="44"/>
          <w:szCs w:val="44"/>
        </w:rPr>
        <w:t>东莞市建设工程质量监督站</w:t>
      </w:r>
      <w:r>
        <w:rPr>
          <w:rFonts w:hint="default" w:ascii="Times New Roman" w:hAnsi="Times New Roman" w:eastAsia="方正小标宋简体" w:cs="Times New Roman"/>
          <w:sz w:val="44"/>
          <w:szCs w:val="44"/>
          <w:lang w:eastAsia="zh-CN"/>
        </w:rPr>
        <w:t>执法记录仪及通讯套包</w:t>
      </w:r>
      <w:r>
        <w:rPr>
          <w:rFonts w:hint="eastAsia" w:ascii="Times New Roman" w:hAnsi="Times New Roman" w:eastAsia="方正小标宋简体" w:cs="Times New Roman"/>
          <w:sz w:val="44"/>
          <w:szCs w:val="44"/>
          <w:lang w:eastAsia="zh-CN"/>
        </w:rPr>
        <w:t>租赁</w:t>
      </w:r>
      <w:r>
        <w:rPr>
          <w:rFonts w:hint="default" w:ascii="Times New Roman" w:hAnsi="Times New Roman" w:eastAsia="方正小标宋简体" w:cs="Times New Roman"/>
          <w:sz w:val="44"/>
          <w:szCs w:val="44"/>
        </w:rPr>
        <w:t>事项采购需求书</w:t>
      </w:r>
    </w:p>
    <w:p w14:paraId="2EF3C584">
      <w:pPr>
        <w:pStyle w:val="3"/>
        <w:ind w:firstLine="198" w:firstLineChars="62"/>
        <w:jc w:val="center"/>
        <w:rPr>
          <w:rFonts w:hint="default" w:ascii="Times New Roman" w:hAnsi="Times New Roman" w:cs="Times New Roman"/>
        </w:rPr>
      </w:pPr>
    </w:p>
    <w:p w14:paraId="30F83D3B">
      <w:pPr>
        <w:pStyle w:val="3"/>
        <w:ind w:firstLine="198" w:firstLineChars="62"/>
        <w:jc w:val="center"/>
        <w:rPr>
          <w:rFonts w:hint="default" w:ascii="Times New Roman" w:hAnsi="Times New Roman" w:cs="Times New Roman"/>
          <w:szCs w:val="32"/>
        </w:rPr>
      </w:pPr>
    </w:p>
    <w:p w14:paraId="07A73D5A">
      <w:pPr>
        <w:pStyle w:val="3"/>
        <w:spacing w:line="520" w:lineRule="exact"/>
        <w:ind w:firstLine="0" w:firstLineChars="0"/>
        <w:jc w:val="center"/>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第一部分 项目基本情况</w:t>
      </w:r>
    </w:p>
    <w:p w14:paraId="1A5C825F">
      <w:pPr>
        <w:spacing w:line="520" w:lineRule="exact"/>
        <w:ind w:firstLine="640" w:firstLineChars="200"/>
        <w:rPr>
          <w:rFonts w:hint="default" w:ascii="Times New Roman" w:hAnsi="Times New Roman" w:eastAsia="黑体" w:cs="Times New Roman"/>
          <w:color w:val="000000"/>
          <w:kern w:val="0"/>
        </w:rPr>
      </w:pPr>
      <w:r>
        <w:rPr>
          <w:rFonts w:hint="default" w:ascii="Times New Roman" w:hAnsi="Times New Roman" w:eastAsia="黑体" w:cs="Times New Roman"/>
          <w:color w:val="000000"/>
          <w:kern w:val="0"/>
        </w:rPr>
        <w:t>一、采购人名称</w:t>
      </w:r>
    </w:p>
    <w:p w14:paraId="055D6949">
      <w:pPr>
        <w:spacing w:line="520" w:lineRule="exact"/>
        <w:ind w:firstLine="640" w:firstLineChars="200"/>
        <w:rPr>
          <w:rFonts w:hint="default" w:ascii="Times New Roman" w:hAnsi="Times New Roman" w:cs="Times New Roman"/>
        </w:rPr>
      </w:pPr>
      <w:r>
        <w:rPr>
          <w:rFonts w:hint="default" w:ascii="Times New Roman" w:hAnsi="Times New Roman" w:cs="Times New Roman"/>
        </w:rPr>
        <w:t>东莞市建设工程质量监督站</w:t>
      </w:r>
    </w:p>
    <w:p w14:paraId="1C21327E">
      <w:pPr>
        <w:pStyle w:val="3"/>
        <w:spacing w:line="520" w:lineRule="exact"/>
        <w:ind w:firstLine="640"/>
        <w:rPr>
          <w:rFonts w:hint="default" w:ascii="Times New Roman" w:hAnsi="Times New Roman" w:cs="Times New Roman"/>
        </w:rPr>
      </w:pPr>
      <w:r>
        <w:rPr>
          <w:rFonts w:hint="default" w:ascii="Times New Roman" w:hAnsi="Times New Roman" w:eastAsia="黑体" w:cs="Times New Roman"/>
          <w:szCs w:val="32"/>
        </w:rPr>
        <w:t>二、采购项目名称</w:t>
      </w:r>
    </w:p>
    <w:p w14:paraId="38D8F724">
      <w:pPr>
        <w:ind w:firstLine="640" w:firstLineChars="200"/>
        <w:rPr>
          <w:rFonts w:hint="default" w:ascii="Times New Roman" w:hAnsi="Times New Roman" w:eastAsia="仿宋_GB2312" w:cs="Times New Roman"/>
          <w:lang w:eastAsia="zh-CN"/>
        </w:rPr>
      </w:pPr>
      <w:r>
        <w:rPr>
          <w:rFonts w:hint="default" w:ascii="Times New Roman" w:hAnsi="Times New Roman" w:cs="Times New Roman"/>
        </w:rPr>
        <w:t>东莞市建设工程质量监督站</w:t>
      </w:r>
      <w:r>
        <w:rPr>
          <w:rFonts w:hint="default" w:ascii="Times New Roman" w:hAnsi="Times New Roman" w:cs="Times New Roman"/>
          <w:lang w:eastAsia="zh-CN"/>
        </w:rPr>
        <w:t>执法记录仪及通讯套包</w:t>
      </w:r>
      <w:r>
        <w:rPr>
          <w:rFonts w:hint="eastAsia" w:ascii="Times New Roman" w:hAnsi="Times New Roman" w:cs="Times New Roman"/>
          <w:lang w:eastAsia="zh-CN"/>
        </w:rPr>
        <w:t>租赁服务</w:t>
      </w:r>
    </w:p>
    <w:p w14:paraId="4752A71F">
      <w:pPr>
        <w:pStyle w:val="29"/>
        <w:ind w:firstLine="640"/>
        <w:rPr>
          <w:rFonts w:hint="default" w:ascii="Times New Roman" w:hAnsi="Times New Roman" w:eastAsia="楷体_GB2312" w:cs="Times New Roman"/>
        </w:rPr>
      </w:pPr>
      <w:r>
        <w:rPr>
          <w:rFonts w:hint="default" w:ascii="Times New Roman" w:hAnsi="Times New Roman" w:eastAsia="黑体" w:cs="Times New Roman"/>
          <w:bCs/>
        </w:rPr>
        <w:t>三、项目概况</w:t>
      </w:r>
    </w:p>
    <w:p w14:paraId="2C429C36">
      <w:pPr>
        <w:ind w:firstLine="640" w:firstLineChars="200"/>
        <w:rPr>
          <w:rFonts w:hint="default" w:ascii="Times New Roman" w:hAnsi="Times New Roman" w:cs="Times New Roman"/>
        </w:rPr>
      </w:pPr>
      <w:r>
        <w:rPr>
          <w:rFonts w:hint="default" w:ascii="Times New Roman" w:hAnsi="Times New Roman" w:cs="Times New Roman"/>
        </w:rPr>
        <w:t>根据《中共中央关于全面推进依法治国若干重大问题的决定》、国务院《关于全面推行行政执法公示制度执法全过程记录制度重大执法决定法制审核制度的指导意见》（国办发〔2018〕118号）、《住房城乡建设部关于开展房屋市政工程安全生产治本攻坚三年行动的通知》（建质〔2024〕27号）、《广东省人民政府办公厅关于严格规范涉企行政检查的实施意见》（粤府办〔2025〕15号）、《关于推进安全生产治本攻坚三年行动2025年重点工作任务的通知的要求》（东安办〔2025〕46号）的有关要求，认真落实全市房屋市政工程安全生产治本攻坚三年行动，动态消除安全风险隐患，防范遏制事故发生，确保执法人员正确合理使用执法音像记录设备，提高执法人员自我约束、自我防范意识，维护当事人及执法人员的合法权益，有效减少涉法信访、投诉，保障执法人员依法履行职责，加强执法监督，确保施工活动安全、有序进行。因此，拟通过政府采购方式租赁执法记录仪。</w:t>
      </w:r>
    </w:p>
    <w:p w14:paraId="4B2EE633">
      <w:pPr>
        <w:pStyle w:val="3"/>
        <w:spacing w:line="520" w:lineRule="exact"/>
        <w:ind w:firstLine="0" w:firstLineChars="0"/>
        <w:rPr>
          <w:rFonts w:hint="default" w:ascii="Times New Roman" w:hAnsi="Times New Roman" w:cs="Times New Roman"/>
        </w:rPr>
      </w:pPr>
    </w:p>
    <w:p w14:paraId="3EB35498">
      <w:pPr>
        <w:pStyle w:val="3"/>
        <w:spacing w:line="520" w:lineRule="exact"/>
        <w:ind w:firstLine="0" w:firstLineChars="0"/>
        <w:jc w:val="center"/>
        <w:rPr>
          <w:rFonts w:hint="default" w:ascii="Times New Roman" w:hAnsi="Times New Roman" w:cs="Times New Roman"/>
          <w:b/>
          <w:bCs/>
        </w:rPr>
      </w:pPr>
      <w:r>
        <w:rPr>
          <w:rFonts w:hint="default" w:ascii="Times New Roman" w:hAnsi="Times New Roman" w:eastAsia="黑体" w:cs="Times New Roman"/>
          <w:szCs w:val="32"/>
        </w:rPr>
        <w:t>第二部分 采购需求</w:t>
      </w:r>
    </w:p>
    <w:p w14:paraId="24C188EC">
      <w:pPr>
        <w:spacing w:line="52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一、服务总体要求</w:t>
      </w:r>
    </w:p>
    <w:p w14:paraId="1DA09088">
      <w:pPr>
        <w:spacing w:line="520" w:lineRule="exact"/>
        <w:ind w:firstLine="640" w:firstLineChars="200"/>
        <w:rPr>
          <w:rFonts w:hint="default" w:ascii="Times New Roman" w:hAnsi="Times New Roman" w:cs="Times New Roman"/>
        </w:rPr>
      </w:pPr>
      <w:r>
        <w:rPr>
          <w:rFonts w:hint="default" w:ascii="Times New Roman" w:hAnsi="Times New Roman" w:cs="Times New Roman"/>
        </w:rPr>
        <w:t>执法记录仪是提高执法人员依法行政意识，保证监督工作合法规范，有效减少涉法信访、投诉的有力手段。服务商应保障执法记录仪设备质量稳定，保修及时；所涉执法录像数据具有保密措施，平台建设能满足使用要求，并根据需求进行完善。</w:t>
      </w:r>
    </w:p>
    <w:p w14:paraId="6E8155CC">
      <w:pPr>
        <w:pStyle w:val="29"/>
        <w:ind w:firstLine="640"/>
        <w:rPr>
          <w:rFonts w:hint="default" w:ascii="Times New Roman" w:hAnsi="Times New Roman" w:eastAsia="黑体" w:cs="Times New Roman"/>
          <w:bCs/>
        </w:rPr>
      </w:pPr>
      <w:r>
        <w:rPr>
          <w:rFonts w:hint="default" w:ascii="Times New Roman" w:hAnsi="Times New Roman" w:eastAsia="黑体" w:cs="Times New Roman"/>
          <w:bCs/>
        </w:rPr>
        <w:t>二、服务商资质要求</w:t>
      </w:r>
    </w:p>
    <w:p w14:paraId="5AF48047">
      <w:pPr>
        <w:spacing w:line="520" w:lineRule="exact"/>
        <w:ind w:firstLine="640" w:firstLineChars="200"/>
        <w:rPr>
          <w:rFonts w:hint="default" w:ascii="Times New Roman" w:hAnsi="Times New Roman" w:cs="Times New Roman"/>
        </w:rPr>
      </w:pPr>
      <w:r>
        <w:rPr>
          <w:rFonts w:hint="default" w:ascii="Times New Roman" w:hAnsi="Times New Roman" w:cs="Times New Roman"/>
        </w:rPr>
        <w:t>参照《中华人民共和国政府采购法》第二十二条规定，服务商须符合以下条件：</w:t>
      </w:r>
    </w:p>
    <w:p w14:paraId="2CA943EB">
      <w:pPr>
        <w:spacing w:line="520" w:lineRule="exact"/>
        <w:ind w:firstLine="640" w:firstLineChars="200"/>
        <w:rPr>
          <w:rFonts w:hint="default" w:ascii="Times New Roman" w:hAnsi="Times New Roman" w:cs="Times New Roman"/>
        </w:rPr>
      </w:pPr>
      <w:r>
        <w:rPr>
          <w:rFonts w:hint="default" w:ascii="Times New Roman" w:hAnsi="Times New Roman" w:cs="Times New Roman"/>
        </w:rPr>
        <w:t>（一）具有独立承担民事责任的能力。</w:t>
      </w:r>
    </w:p>
    <w:p w14:paraId="31CA5BF9">
      <w:pPr>
        <w:spacing w:line="520" w:lineRule="exact"/>
        <w:ind w:firstLine="640" w:firstLineChars="200"/>
        <w:rPr>
          <w:rFonts w:hint="default" w:ascii="Times New Roman" w:hAnsi="Times New Roman" w:cs="Times New Roman"/>
        </w:rPr>
      </w:pPr>
      <w:r>
        <w:rPr>
          <w:rFonts w:hint="default" w:ascii="Times New Roman" w:hAnsi="Times New Roman" w:cs="Times New Roman"/>
        </w:rPr>
        <w:t>（二）具有依法缴纳税收和社会保障资金的良好记录。</w:t>
      </w:r>
    </w:p>
    <w:p w14:paraId="2C1814E7">
      <w:pPr>
        <w:spacing w:line="520" w:lineRule="exact"/>
        <w:ind w:firstLine="640" w:firstLineChars="200"/>
        <w:rPr>
          <w:rFonts w:hint="default" w:ascii="Times New Roman" w:hAnsi="Times New Roman" w:cs="Times New Roman"/>
        </w:rPr>
      </w:pPr>
      <w:r>
        <w:rPr>
          <w:rFonts w:hint="default" w:ascii="Times New Roman" w:hAnsi="Times New Roman" w:cs="Times New Roman"/>
        </w:rPr>
        <w:t>（三）具有良好的商业信誉和健全的财务会计制度。</w:t>
      </w:r>
    </w:p>
    <w:p w14:paraId="752FD8E4">
      <w:pPr>
        <w:spacing w:line="520" w:lineRule="exact"/>
        <w:ind w:firstLine="640" w:firstLineChars="200"/>
        <w:rPr>
          <w:rFonts w:hint="default" w:ascii="Times New Roman" w:hAnsi="Times New Roman" w:cs="Times New Roman"/>
        </w:rPr>
      </w:pPr>
      <w:r>
        <w:rPr>
          <w:rFonts w:hint="default" w:ascii="Times New Roman" w:hAnsi="Times New Roman" w:cs="Times New Roman"/>
        </w:rPr>
        <w:t>（四）具有履行合同所必需的设备和专业技术能力。</w:t>
      </w:r>
    </w:p>
    <w:p w14:paraId="453723E9">
      <w:pPr>
        <w:spacing w:line="520" w:lineRule="exact"/>
        <w:ind w:firstLine="640" w:firstLineChars="200"/>
        <w:rPr>
          <w:rFonts w:hint="default" w:ascii="Times New Roman" w:hAnsi="Times New Roman" w:cs="Times New Roman"/>
        </w:rPr>
      </w:pPr>
      <w:r>
        <w:rPr>
          <w:rFonts w:hint="default" w:ascii="Times New Roman" w:hAnsi="Times New Roman" w:cs="Times New Roman"/>
        </w:rPr>
        <w:t>（五）参加采购活动前三年内，在经营活动中没有重大违法记录（服务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33375B">
      <w:pPr>
        <w:spacing w:line="520" w:lineRule="exact"/>
        <w:ind w:firstLine="640" w:firstLineChars="200"/>
        <w:rPr>
          <w:rFonts w:hint="default" w:ascii="Times New Roman" w:hAnsi="Times New Roman" w:cs="Times New Roman"/>
        </w:rPr>
      </w:pPr>
      <w:r>
        <w:rPr>
          <w:rFonts w:hint="default" w:ascii="Times New Roman" w:hAnsi="Times New Roman" w:cs="Times New Roman"/>
        </w:rPr>
        <w:t>（六）本项目不接受联合体参与，不能转包。</w:t>
      </w:r>
    </w:p>
    <w:p w14:paraId="13E63557">
      <w:pPr>
        <w:pStyle w:val="3"/>
        <w:spacing w:line="520" w:lineRule="exact"/>
        <w:ind w:firstLine="640"/>
        <w:rPr>
          <w:rFonts w:hint="default" w:ascii="Times New Roman" w:hAnsi="Times New Roman" w:cs="Times New Roman"/>
        </w:rPr>
      </w:pPr>
      <w:r>
        <w:rPr>
          <w:rFonts w:hint="default" w:ascii="Times New Roman" w:hAnsi="Times New Roman" w:eastAsia="黑体" w:cs="Times New Roman"/>
          <w:bCs/>
        </w:rPr>
        <w:t>三、报价要求</w:t>
      </w:r>
    </w:p>
    <w:p w14:paraId="6F72C11C">
      <w:pPr>
        <w:pStyle w:val="3"/>
        <w:spacing w:line="520" w:lineRule="exact"/>
        <w:ind w:firstLine="640"/>
        <w:jc w:val="left"/>
        <w:rPr>
          <w:rFonts w:hint="default" w:ascii="Times New Roman" w:hAnsi="Times New Roman" w:cs="Times New Roman"/>
        </w:rPr>
      </w:pPr>
      <w:r>
        <w:rPr>
          <w:rFonts w:hint="default" w:ascii="Times New Roman" w:hAnsi="Times New Roman" w:cs="Times New Roman"/>
        </w:rPr>
        <w:t>报价最高限价为</w:t>
      </w:r>
      <w:r>
        <w:rPr>
          <w:rFonts w:hint="default" w:ascii="Times New Roman" w:hAnsi="Times New Roman" w:cs="Times New Roman"/>
          <w:lang w:val="en-US" w:eastAsia="zh-CN"/>
        </w:rPr>
        <w:t>不超过</w:t>
      </w:r>
      <w:r>
        <w:rPr>
          <w:rFonts w:hint="default" w:ascii="Times New Roman" w:hAnsi="Times New Roman" w:cs="Times New Roman"/>
        </w:rPr>
        <w:t>38,400.00元</w:t>
      </w:r>
      <w:r>
        <w:rPr>
          <w:rFonts w:hint="default" w:ascii="Times New Roman" w:hAnsi="Times New Roman" w:cs="Times New Roman"/>
          <w:lang w:eastAsia="zh-CN"/>
        </w:rPr>
        <w:t>（每台执法记录仪及其通讯套包租赁单价不高于</w:t>
      </w:r>
      <w:r>
        <w:rPr>
          <w:rFonts w:hint="default" w:ascii="Times New Roman" w:hAnsi="Times New Roman" w:cs="Times New Roman"/>
          <w:lang w:val="en-US" w:eastAsia="zh-CN"/>
        </w:rPr>
        <w:t>160元/月</w:t>
      </w:r>
      <w:r>
        <w:rPr>
          <w:rFonts w:hint="default" w:ascii="Times New Roman" w:hAnsi="Times New Roman" w:cs="Times New Roman"/>
          <w:lang w:eastAsia="zh-CN"/>
        </w:rPr>
        <w:t>）</w:t>
      </w:r>
      <w:r>
        <w:rPr>
          <w:rFonts w:hint="default" w:ascii="Times New Roman" w:hAnsi="Times New Roman" w:cs="Times New Roman"/>
          <w:lang w:val="en-US" w:eastAsia="zh-CN"/>
        </w:rPr>
        <w:t>，</w:t>
      </w:r>
      <w:r>
        <w:rPr>
          <w:rFonts w:hint="default" w:ascii="Times New Roman" w:hAnsi="Times New Roman" w:cs="Times New Roman"/>
        </w:rPr>
        <w:t>报价应包含合同实施过程中不可预见费用等。</w:t>
      </w:r>
    </w:p>
    <w:p w14:paraId="780AA048">
      <w:pPr>
        <w:pStyle w:val="29"/>
        <w:ind w:firstLine="640"/>
        <w:rPr>
          <w:rFonts w:hint="default" w:ascii="Times New Roman" w:hAnsi="Times New Roman" w:eastAsia="黑体" w:cs="Times New Roman"/>
          <w:bCs/>
        </w:rPr>
      </w:pPr>
      <w:r>
        <w:rPr>
          <w:rFonts w:hint="default" w:ascii="Times New Roman" w:hAnsi="Times New Roman" w:eastAsia="黑体" w:cs="Times New Roman"/>
          <w:bCs/>
        </w:rPr>
        <w:t>四、响应报价说明</w:t>
      </w:r>
    </w:p>
    <w:p w14:paraId="7BED89CE">
      <w:pPr>
        <w:pStyle w:val="3"/>
        <w:spacing w:line="520" w:lineRule="exact"/>
        <w:ind w:firstLine="640"/>
        <w:rPr>
          <w:rFonts w:hint="default" w:ascii="Times New Roman" w:hAnsi="Times New Roman" w:cs="Times New Roman"/>
        </w:rPr>
      </w:pPr>
      <w:r>
        <w:rPr>
          <w:rFonts w:hint="default" w:ascii="Times New Roman" w:hAnsi="Times New Roman" w:cs="Times New Roman"/>
        </w:rPr>
        <w:t>响应资料必须加盖公章后密封，并在封面上注明投件单位、联系人及联系电话，在封口处加贴封条和加盖公章，未作密封盖章处理或逾期送达的文件将视为无效。报价材料包括：</w:t>
      </w:r>
    </w:p>
    <w:p w14:paraId="083E9A1B">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《营业执照》复印件、法人代表身份证复印件（正、反面）；</w:t>
      </w:r>
    </w:p>
    <w:p w14:paraId="0183079E">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报价表（见附件1）；</w:t>
      </w:r>
    </w:p>
    <w:p w14:paraId="1BA1E37A">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资格条件承诺函（见附件2）；</w:t>
      </w:r>
    </w:p>
    <w:p w14:paraId="0CA68BD1">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服务商信用查询（查询渠道：“信用中国”（www.creditchina.gov.cn）</w:t>
      </w:r>
      <w:r>
        <w:rPr>
          <w:rFonts w:hint="default" w:ascii="Times New Roman" w:hAnsi="Times New Roman" w:cs="Times New Roman"/>
          <w:lang w:eastAsia="zh-CN"/>
        </w:rPr>
        <w:t>、</w:t>
      </w:r>
      <w:r>
        <w:rPr>
          <w:rFonts w:hint="default" w:ascii="Times New Roman" w:hAnsi="Times New Roman" w:cs="Times New Roman"/>
        </w:rPr>
        <w:t>“中国政府采购网”（http://www.ccgp.gov.cn/）网页截图，查询时间截点：采购公告发布之日至响应文件提交截止时间前。）</w:t>
      </w:r>
    </w:p>
    <w:p w14:paraId="0DC46E7A">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法定代表人授权书（模板见附件3，无授权代表可不提供）；</w:t>
      </w:r>
    </w:p>
    <w:p w14:paraId="0F97A121">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根据本《项目需求书》要求编制并提供相应的资料（建议列索引表）。</w:t>
      </w:r>
    </w:p>
    <w:p w14:paraId="65095338">
      <w:pPr>
        <w:pStyle w:val="29"/>
        <w:ind w:firstLine="640"/>
        <w:rPr>
          <w:rFonts w:hint="default" w:ascii="Times New Roman" w:hAnsi="Times New Roman" w:eastAsia="黑体" w:cs="Times New Roman"/>
          <w:bCs/>
          <w:highlight w:val="none"/>
        </w:rPr>
      </w:pPr>
      <w:r>
        <w:rPr>
          <w:rFonts w:hint="default" w:ascii="Times New Roman" w:hAnsi="Times New Roman" w:eastAsia="黑体" w:cs="Times New Roman"/>
          <w:bCs/>
          <w:highlight w:val="none"/>
        </w:rPr>
        <w:t>五、支付方式</w:t>
      </w:r>
    </w:p>
    <w:p w14:paraId="25215BCE">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（一）技术服务费由甲方分期支付乙方。</w:t>
      </w:r>
    </w:p>
    <w:p w14:paraId="06311754">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（二）具体支付方式和时间如下：</w:t>
      </w:r>
    </w:p>
    <w:p w14:paraId="3E454B77">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1.付款方式分</w:t>
      </w:r>
      <w:r>
        <w:rPr>
          <w:rFonts w:hint="eastAsia" w:cs="Times New Roman"/>
          <w:highlight w:val="none"/>
          <w:lang w:eastAsia="zh-CN"/>
        </w:rPr>
        <w:t>两</w:t>
      </w:r>
      <w:r>
        <w:rPr>
          <w:rFonts w:hint="default" w:ascii="Times New Roman" w:hAnsi="Times New Roman" w:cs="Times New Roman"/>
          <w:highlight w:val="none"/>
        </w:rPr>
        <w:t>个阶段支付：</w:t>
      </w:r>
    </w:p>
    <w:p w14:paraId="37283D55">
      <w:pPr>
        <w:pStyle w:val="37"/>
        <w:numPr>
          <w:ilvl w:val="255"/>
          <w:numId w:val="0"/>
        </w:numPr>
        <w:spacing w:before="0" w:after="0" w:line="560" w:lineRule="exact"/>
        <w:ind w:firstLine="640"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第一阶段：甲乙双方对执法记录仪的型号、技术规格、技术参数、质量、数量及云平台验收合格后，甲方于乙方发起请款并开具等额合法有效增值税专用发票后的</w:t>
      </w:r>
      <w:r>
        <w:rPr>
          <w:rFonts w:hint="default" w:ascii="Times New Roman" w:hAnsi="Times New Roman" w:eastAsia="仿宋_GB2312" w:cs="Times New Roman"/>
          <w:kern w:val="2"/>
          <w:sz w:val="32"/>
          <w:szCs w:val="24"/>
          <w:lang w:val="en-US" w:eastAsia="zh-CN" w:bidi="ar-SA"/>
        </w:rPr>
        <w:t>10个工作日内，一次性支付合同总金额的</w:t>
      </w:r>
      <w:r>
        <w:rPr>
          <w:rFonts w:hint="eastAsia" w:ascii="Times New Roman" w:hAnsi="Times New Roman" w:eastAsia="仿宋_GB2312" w:cs="Times New Roman"/>
          <w:kern w:val="2"/>
          <w:sz w:val="32"/>
          <w:szCs w:val="24"/>
          <w:lang w:val="en-US" w:eastAsia="zh-CN" w:bidi="ar-SA"/>
        </w:rPr>
        <w:t>8</w:t>
      </w:r>
      <w:r>
        <w:rPr>
          <w:rFonts w:hint="default" w:ascii="Times New Roman" w:hAnsi="Times New Roman" w:eastAsia="仿宋_GB2312" w:cs="Times New Roman"/>
          <w:kern w:val="2"/>
          <w:sz w:val="32"/>
          <w:szCs w:val="24"/>
          <w:lang w:val="en-US" w:eastAsia="zh-CN" w:bidi="ar-SA"/>
        </w:rPr>
        <w:t>0%，</w:t>
      </w:r>
      <w:r>
        <w:rPr>
          <w:rFonts w:hint="eastAsia" w:ascii="Times New Roman" w:hAnsi="Times New Roman" w:eastAsia="仿宋_GB2312" w:cs="Times New Roman"/>
          <w:kern w:val="2"/>
          <w:sz w:val="32"/>
          <w:szCs w:val="24"/>
          <w:lang w:val="en-US" w:eastAsia="zh-CN" w:bidi="ar-SA"/>
        </w:rPr>
        <w:t>即30720.00元（大写：人民币叁万零柒</w:t>
      </w:r>
      <w:bookmarkStart w:id="4" w:name="_GoBack"/>
      <w:bookmarkEnd w:id="4"/>
      <w:r>
        <w:rPr>
          <w:rFonts w:hint="eastAsia" w:ascii="Times New Roman" w:hAnsi="Times New Roman" w:eastAsia="仿宋_GB2312" w:cs="Times New Roman"/>
          <w:kern w:val="2"/>
          <w:sz w:val="32"/>
          <w:szCs w:val="24"/>
          <w:lang w:val="en-US" w:eastAsia="zh-CN" w:bidi="ar-SA"/>
        </w:rPr>
        <w:t>佰贰拾元整）</w:t>
      </w:r>
      <w:r>
        <w:rPr>
          <w:rFonts w:hint="default" w:ascii="Times New Roman" w:hAnsi="Times New Roman" w:eastAsia="仿宋_GB2312" w:cs="Times New Roman"/>
          <w:kern w:val="2"/>
          <w:sz w:val="32"/>
          <w:szCs w:val="24"/>
          <w:lang w:val="en-US" w:eastAsia="zh-CN" w:bidi="ar-SA"/>
        </w:rPr>
        <w:t>；</w:t>
      </w:r>
    </w:p>
    <w:p w14:paraId="54BCF4FA">
      <w:pPr>
        <w:pStyle w:val="37"/>
        <w:numPr>
          <w:ilvl w:val="255"/>
          <w:numId w:val="0"/>
        </w:numPr>
        <w:spacing w:before="0" w:after="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第二阶段：乙方履行合同至2026年11</w:t>
      </w:r>
      <w:r>
        <w:rPr>
          <w:rFonts w:hint="default" w:ascii="Times New Roman" w:hAnsi="Times New Roman" w:eastAsia="仿宋_GB2312" w:cs="Times New Roman"/>
          <w:kern w:val="2"/>
          <w:sz w:val="32"/>
          <w:szCs w:val="24"/>
          <w:lang w:val="en-US" w:eastAsia="zh-CN" w:bidi="ar-SA"/>
        </w:rPr>
        <w:t>月时，</w:t>
      </w:r>
      <w:r>
        <w:rPr>
          <w:rFonts w:hint="eastAsia" w:ascii="Times New Roman" w:hAnsi="Times New Roman" w:eastAsia="仿宋_GB2312" w:cs="Times New Roman"/>
          <w:kern w:val="2"/>
          <w:sz w:val="32"/>
          <w:szCs w:val="24"/>
          <w:lang w:val="en-US" w:eastAsia="zh-CN" w:bidi="ar-SA"/>
        </w:rPr>
        <w:t>由甲乙双方对云平台建设使用情况、过程服务情况及后续设备流量交付证明验收合格后，</w:t>
      </w:r>
      <w:r>
        <w:rPr>
          <w:rFonts w:hint="default" w:ascii="Times New Roman" w:hAnsi="Times New Roman" w:eastAsia="仿宋_GB2312" w:cs="Times New Roman"/>
          <w:kern w:val="2"/>
          <w:sz w:val="32"/>
          <w:szCs w:val="24"/>
          <w:lang w:val="en-US" w:eastAsia="zh-CN" w:bidi="ar-SA"/>
        </w:rPr>
        <w:t>甲方于乙方发起请款并开具</w:t>
      </w:r>
      <w:r>
        <w:rPr>
          <w:rFonts w:hint="eastAsia" w:ascii="Times New Roman" w:hAnsi="Times New Roman" w:eastAsia="仿宋_GB2312" w:cs="Times New Roman"/>
          <w:kern w:val="2"/>
          <w:sz w:val="32"/>
          <w:szCs w:val="24"/>
          <w:lang w:val="en-US" w:eastAsia="zh-CN" w:bidi="ar-SA"/>
        </w:rPr>
        <w:t>等额合法有效增值税专用发票后的</w:t>
      </w:r>
      <w:r>
        <w:rPr>
          <w:rFonts w:hint="default" w:ascii="Times New Roman" w:hAnsi="Times New Roman" w:eastAsia="仿宋_GB2312" w:cs="Times New Roman"/>
          <w:kern w:val="2"/>
          <w:sz w:val="32"/>
          <w:szCs w:val="24"/>
          <w:lang w:val="en-US" w:eastAsia="zh-CN" w:bidi="ar-SA"/>
        </w:rPr>
        <w:t>10个工作日内，一次性支付合同总金额的</w:t>
      </w:r>
      <w:r>
        <w:rPr>
          <w:rFonts w:hint="eastAsia" w:ascii="Times New Roman" w:hAnsi="Times New Roman" w:eastAsia="仿宋_GB2312" w:cs="Times New Roman"/>
          <w:kern w:val="2"/>
          <w:sz w:val="32"/>
          <w:szCs w:val="24"/>
          <w:lang w:val="en-US" w:eastAsia="zh-CN" w:bidi="ar-SA"/>
        </w:rPr>
        <w:t>20</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即7680.00元（大写：人民币柒仟陆佰捌拾元整）。</w:t>
      </w:r>
    </w:p>
    <w:p w14:paraId="783C6703">
      <w:pPr>
        <w:pStyle w:val="3"/>
        <w:spacing w:line="240" w:lineRule="auto"/>
        <w:ind w:left="640" w:leftChars="200" w:firstLine="0" w:firstLineChars="0"/>
        <w:rPr>
          <w:rFonts w:hint="default" w:ascii="Times New Roman" w:hAnsi="Times New Roman" w:cs="Times New Roman"/>
        </w:rPr>
      </w:pPr>
      <w:r>
        <w:rPr>
          <w:rFonts w:hint="default" w:ascii="Times New Roman" w:hAnsi="Times New Roman" w:cs="Times New Roman"/>
        </w:rPr>
        <w:t>（三）采购人和中标人双方采用对公转账的支付方式进行结算。</w:t>
      </w:r>
    </w:p>
    <w:p w14:paraId="6E2A5252">
      <w:pPr>
        <w:pStyle w:val="3"/>
        <w:spacing w:line="240" w:lineRule="auto"/>
        <w:ind w:firstLine="640"/>
        <w:rPr>
          <w:rFonts w:hint="default" w:ascii="Times New Roman" w:hAnsi="Times New Roman" w:cs="Times New Roman"/>
        </w:rPr>
      </w:pPr>
      <w:r>
        <w:rPr>
          <w:rFonts w:hint="default" w:ascii="Times New Roman" w:hAnsi="Times New Roman" w:cs="Times New Roman"/>
        </w:rPr>
        <w:t>（四）采购人付款前中标人应当开具相应合法的发票，否则采购人有权拒绝付款且不承担任何责任。采购人在收到中标人正式发票后十个工作日内向中标人支付对应金额。</w:t>
      </w:r>
    </w:p>
    <w:p w14:paraId="04262085">
      <w:pPr>
        <w:pStyle w:val="3"/>
        <w:spacing w:line="240" w:lineRule="auto"/>
        <w:ind w:firstLine="640"/>
        <w:rPr>
          <w:rFonts w:hint="default" w:ascii="Times New Roman" w:hAnsi="Times New Roman" w:cs="Times New Roman"/>
        </w:rPr>
      </w:pPr>
      <w:r>
        <w:rPr>
          <w:rFonts w:hint="default" w:ascii="Times New Roman" w:hAnsi="Times New Roman" w:cs="Times New Roman"/>
        </w:rPr>
        <w:t>（五）因采购人使用的是财政资金，采购人需于规定的付款时间内向财政局提出支付申请手续，且在规定时间内提出支付申请手续后即视为已经按期支付，具体到账时间以财政授权支付为准。</w:t>
      </w:r>
    </w:p>
    <w:p w14:paraId="7DAB8FA1">
      <w:pPr>
        <w:pStyle w:val="3"/>
        <w:spacing w:line="240" w:lineRule="auto"/>
        <w:ind w:firstLine="0" w:firstLineChars="0"/>
        <w:jc w:val="center"/>
        <w:rPr>
          <w:rFonts w:hint="default" w:ascii="Times New Roman" w:hAnsi="Times New Roman" w:cs="Times New Roman"/>
        </w:rPr>
      </w:pPr>
    </w:p>
    <w:p w14:paraId="4B10EC81">
      <w:pPr>
        <w:jc w:val="center"/>
        <w:rPr>
          <w:rFonts w:hint="default" w:ascii="Times New Roman" w:hAnsi="Times New Roman" w:eastAsia="黑体" w:cs="Times New Roman"/>
        </w:rPr>
      </w:pPr>
      <w:r>
        <w:rPr>
          <w:rFonts w:hint="default" w:ascii="Times New Roman" w:hAnsi="Times New Roman" w:eastAsia="黑体" w:cs="Times New Roman"/>
        </w:rPr>
        <w:t>第三部分 评</w:t>
      </w:r>
      <w:r>
        <w:rPr>
          <w:rFonts w:hint="default" w:ascii="Times New Roman" w:hAnsi="Times New Roman" w:eastAsia="黑体" w:cs="Times New Roman"/>
          <w:lang w:eastAsia="zh-CN"/>
        </w:rPr>
        <w:t>审</w:t>
      </w:r>
      <w:r>
        <w:rPr>
          <w:rFonts w:hint="default" w:ascii="Times New Roman" w:hAnsi="Times New Roman" w:eastAsia="黑体" w:cs="Times New Roman"/>
        </w:rPr>
        <w:t>标准</w:t>
      </w:r>
    </w:p>
    <w:p w14:paraId="29E6D13C">
      <w:pPr>
        <w:ind w:firstLine="640" w:firstLineChars="200"/>
        <w:rPr>
          <w:rFonts w:hint="default" w:ascii="Times New Roman" w:hAnsi="Times New Roman" w:cs="Times New Roman"/>
        </w:rPr>
      </w:pPr>
      <w:r>
        <w:rPr>
          <w:rFonts w:hint="default" w:ascii="Times New Roman" w:hAnsi="Times New Roman" w:cs="Times New Roman"/>
        </w:rPr>
        <w:t>根据评审原则，所有响应文件的评分按商务部分、技术部分和报价部分三个部分分别打分的方式进行。</w:t>
      </w:r>
    </w:p>
    <w:tbl>
      <w:tblPr>
        <w:tblStyle w:val="31"/>
        <w:tblW w:w="5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2493"/>
        <w:gridCol w:w="6281"/>
        <w:gridCol w:w="1045"/>
      </w:tblGrid>
      <w:tr w14:paraId="11AC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329" w:type="pct"/>
            <w:vAlign w:val="center"/>
          </w:tcPr>
          <w:p w14:paraId="449E6A82">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评审因素</w:t>
            </w:r>
          </w:p>
        </w:tc>
        <w:tc>
          <w:tcPr>
            <w:tcW w:w="4174" w:type="pct"/>
            <w:gridSpan w:val="2"/>
            <w:tcBorders>
              <w:right w:val="single" w:color="auto" w:sz="4" w:space="0"/>
            </w:tcBorders>
            <w:vAlign w:val="center"/>
          </w:tcPr>
          <w:p w14:paraId="1112BB21">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评审标准</w:t>
            </w:r>
          </w:p>
        </w:tc>
        <w:tc>
          <w:tcPr>
            <w:tcW w:w="497" w:type="pct"/>
            <w:vMerge w:val="restart"/>
            <w:tcBorders>
              <w:top w:val="single" w:color="auto" w:sz="4" w:space="0"/>
              <w:left w:val="single" w:color="auto" w:sz="4" w:space="0"/>
              <w:right w:val="single" w:color="auto" w:sz="4" w:space="0"/>
            </w:tcBorders>
            <w:vAlign w:val="center"/>
          </w:tcPr>
          <w:p w14:paraId="6595E627">
            <w:pPr>
              <w:tabs>
                <w:tab w:val="left" w:pos="573"/>
              </w:tabs>
              <w:autoSpaceDE w:val="0"/>
              <w:autoSpaceDN w:val="0"/>
              <w:jc w:val="center"/>
              <w:rPr>
                <w:rFonts w:hint="default" w:ascii="Times New Roman" w:hAnsi="Times New Roman" w:eastAsia="宋体" w:cs="Times New Roman"/>
                <w:b/>
                <w:bCs/>
                <w:color w:val="FF0000"/>
                <w:sz w:val="24"/>
                <w:szCs w:val="24"/>
                <w:lang w:eastAsia="en-US"/>
              </w:rPr>
            </w:pPr>
            <w:r>
              <w:rPr>
                <w:rFonts w:hint="default" w:ascii="Times New Roman" w:hAnsi="Times New Roman" w:eastAsia="宋体" w:cs="Times New Roman"/>
                <w:b/>
                <w:bCs/>
                <w:sz w:val="24"/>
                <w:szCs w:val="24"/>
                <w:lang w:eastAsia="en-US"/>
              </w:rPr>
              <w:t>备注</w:t>
            </w:r>
          </w:p>
        </w:tc>
      </w:tr>
      <w:tr w14:paraId="76D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329" w:type="pct"/>
            <w:vAlign w:val="center"/>
          </w:tcPr>
          <w:p w14:paraId="17F9E326">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分值构成</w:t>
            </w:r>
          </w:p>
        </w:tc>
        <w:tc>
          <w:tcPr>
            <w:tcW w:w="4174" w:type="pct"/>
            <w:gridSpan w:val="2"/>
            <w:tcBorders>
              <w:right w:val="single" w:color="auto" w:sz="4" w:space="0"/>
            </w:tcBorders>
            <w:vAlign w:val="center"/>
          </w:tcPr>
          <w:p w14:paraId="67383E70">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商务部分35.0分</w:t>
            </w:r>
          </w:p>
          <w:p w14:paraId="43FBC043">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技术部分55.0分</w:t>
            </w:r>
          </w:p>
          <w:p w14:paraId="6CB8EE8B">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报价得分10.0分</w:t>
            </w:r>
          </w:p>
        </w:tc>
        <w:tc>
          <w:tcPr>
            <w:tcW w:w="497" w:type="pct"/>
            <w:vMerge w:val="continue"/>
            <w:tcBorders>
              <w:left w:val="single" w:color="auto" w:sz="4" w:space="0"/>
              <w:bottom w:val="single" w:color="auto" w:sz="4" w:space="0"/>
              <w:right w:val="single" w:color="auto" w:sz="4" w:space="0"/>
            </w:tcBorders>
            <w:vAlign w:val="center"/>
          </w:tcPr>
          <w:p w14:paraId="749503AC">
            <w:pPr>
              <w:autoSpaceDE w:val="0"/>
              <w:autoSpaceDN w:val="0"/>
              <w:jc w:val="center"/>
              <w:rPr>
                <w:rFonts w:hint="default" w:ascii="Times New Roman" w:hAnsi="Times New Roman" w:eastAsia="宋体" w:cs="Times New Roman"/>
                <w:b/>
                <w:bCs/>
                <w:color w:val="FF0000"/>
                <w:sz w:val="24"/>
                <w:szCs w:val="24"/>
                <w:lang w:eastAsia="en-US"/>
              </w:rPr>
            </w:pPr>
          </w:p>
        </w:tc>
      </w:tr>
      <w:tr w14:paraId="11A4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329" w:type="pct"/>
            <w:vMerge w:val="restart"/>
            <w:vAlign w:val="center"/>
          </w:tcPr>
          <w:p w14:paraId="1C77A3E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技术部分</w:t>
            </w:r>
          </w:p>
        </w:tc>
        <w:tc>
          <w:tcPr>
            <w:tcW w:w="1186" w:type="pct"/>
            <w:vAlign w:val="center"/>
          </w:tcPr>
          <w:p w14:paraId="57C78DEA">
            <w:pPr>
              <w:pStyle w:val="34"/>
              <w:widowControl w:val="0"/>
              <w:autoSpaceDE w:val="0"/>
              <w:autoSpaceDN w:val="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项目</w:t>
            </w:r>
            <w:r>
              <w:rPr>
                <w:rFonts w:hint="default" w:ascii="Times New Roman" w:hAnsi="Times New Roman" w:cs="Times New Roman" w:eastAsiaTheme="minorEastAsia"/>
                <w:sz w:val="24"/>
                <w:szCs w:val="24"/>
                <w:lang w:eastAsia="zh-CN"/>
              </w:rPr>
              <w:t>平台建设情况</w:t>
            </w:r>
          </w:p>
          <w:p w14:paraId="347E9C59">
            <w:pPr>
              <w:pStyle w:val="34"/>
              <w:widowControl w:val="0"/>
              <w:autoSpaceDE w:val="0"/>
              <w:autoSpaceDN w:val="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.0</w:t>
            </w:r>
            <w:r>
              <w:rPr>
                <w:rFonts w:hint="default" w:ascii="Times New Roman" w:hAnsi="Times New Roman" w:cs="Times New Roman" w:eastAsiaTheme="minorEastAsia"/>
                <w:color w:val="auto"/>
                <w:sz w:val="24"/>
                <w:szCs w:val="24"/>
                <w:highlight w:val="none"/>
              </w:rPr>
              <w:t>分)</w:t>
            </w:r>
          </w:p>
        </w:tc>
        <w:tc>
          <w:tcPr>
            <w:tcW w:w="2988" w:type="pct"/>
            <w:vAlign w:val="center"/>
          </w:tcPr>
          <w:p w14:paraId="095BC5E8">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（1）平台软件适配不低于1种国产化操作系统、不低于1种国产化数据库（提供双方产品兼容性认证证书或适配认证证明并有双方厂商盖章材料复印件证明）；</w:t>
            </w:r>
          </w:p>
          <w:p w14:paraId="0496A9B8">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（2）平台需通过信息系统安全等级保护三级的认证，具备与等级保护对等的网络安全防护能力。（提供公安机关盖章的备案证明复印件并加盖投标人的公章证明）；</w:t>
            </w:r>
          </w:p>
          <w:p w14:paraId="486312D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（3）平台需具备公安部提出的国家标准《公共安全视频监控联网信息安全技术要求》GB35114-2017 C级及以上等级。（提供公安部安全与警用电子产品质量检测中心出具的检测报告复印件并加盖投标人的公章证明）；</w:t>
            </w:r>
          </w:p>
          <w:p w14:paraId="09686F43">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4）平台的建设应充分考虑对国产密码算法的应用需求，从密码应用的总体方案、密码技术方案、密码应用管理体系及运维体系等符合GB/T39786-2021《信息安全技术信息系统密码应用基本要求》，保障云平台的综合安全防护能力。(提供密码测评检测资质机构印章的《密码应用安全评估报告》并加盖投标人的公章证明)；</w:t>
            </w:r>
          </w:p>
          <w:p w14:paraId="7AF0863E">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lang w:eastAsia="en-US"/>
              </w:rPr>
              <w:t>（5）平台</w:t>
            </w:r>
            <w:r>
              <w:rPr>
                <w:rFonts w:hint="default" w:ascii="Times New Roman" w:hAnsi="Times New Roman" w:cs="Times New Roman" w:eastAsiaTheme="minorEastAsia"/>
                <w:spacing w:val="1"/>
                <w:sz w:val="24"/>
                <w:szCs w:val="24"/>
                <w:lang w:eastAsia="en-US"/>
              </w:rPr>
              <w:t>支持手机</w:t>
            </w:r>
            <w:r>
              <w:rPr>
                <w:rFonts w:hint="default" w:ascii="Times New Roman" w:hAnsi="Times New Roman" w:cs="Times New Roman" w:eastAsiaTheme="minorEastAsia"/>
                <w:sz w:val="24"/>
                <w:szCs w:val="24"/>
                <w:lang w:eastAsia="en-US"/>
              </w:rPr>
              <w:t>APP</w:t>
            </w:r>
            <w:r>
              <w:rPr>
                <w:rFonts w:hint="default" w:ascii="Times New Roman" w:hAnsi="Times New Roman" w:cs="Times New Roman" w:eastAsiaTheme="minorEastAsia"/>
                <w:spacing w:val="1"/>
                <w:sz w:val="24"/>
                <w:szCs w:val="24"/>
                <w:lang w:eastAsia="en-US"/>
              </w:rPr>
              <w:t>人脸登录，</w:t>
            </w:r>
            <w:r>
              <w:rPr>
                <w:rFonts w:hint="default" w:ascii="Times New Roman" w:hAnsi="Times New Roman" w:cs="Times New Roman" w:eastAsiaTheme="minorEastAsia"/>
                <w:spacing w:val="-1"/>
                <w:sz w:val="24"/>
                <w:szCs w:val="24"/>
                <w:lang w:eastAsia="en-US"/>
              </w:rPr>
              <w:t>保障</w:t>
            </w:r>
            <w:r>
              <w:rPr>
                <w:rFonts w:hint="default" w:ascii="Times New Roman" w:hAnsi="Times New Roman" w:cs="Times New Roman" w:eastAsiaTheme="minorEastAsia"/>
                <w:spacing w:val="3"/>
                <w:sz w:val="24"/>
                <w:szCs w:val="24"/>
                <w:lang w:eastAsia="en-US"/>
              </w:rPr>
              <w:t>平台数据的安全性与保密性</w:t>
            </w:r>
            <w:r>
              <w:rPr>
                <w:rFonts w:hint="default" w:ascii="Times New Roman" w:hAnsi="Times New Roman" w:cs="Times New Roman" w:eastAsiaTheme="minorEastAsia"/>
                <w:spacing w:val="3"/>
                <w:sz w:val="24"/>
                <w:szCs w:val="24"/>
                <w:lang w:eastAsia="zh-CN"/>
              </w:rPr>
              <w:t>，</w:t>
            </w:r>
            <w:r>
              <w:rPr>
                <w:rFonts w:hint="default" w:ascii="Times New Roman" w:hAnsi="Times New Roman" w:cs="Times New Roman" w:eastAsiaTheme="minorEastAsia"/>
                <w:sz w:val="24"/>
                <w:szCs w:val="24"/>
                <w:lang w:eastAsia="en-US"/>
              </w:rPr>
              <w:t>支持录像时因信号等原因未及时上传的视频文件，在下次执法仪开机时可以继续上传；</w:t>
            </w:r>
            <w:r>
              <w:rPr>
                <w:rFonts w:hint="default" w:ascii="Times New Roman" w:hAnsi="Times New Roman" w:cs="Times New Roman" w:eastAsiaTheme="minorEastAsia"/>
                <w:spacing w:val="3"/>
                <w:sz w:val="24"/>
                <w:szCs w:val="24"/>
                <w:highlight w:val="none"/>
                <w:lang w:eastAsia="en-US"/>
              </w:rPr>
              <w:t>（提供</w:t>
            </w:r>
            <w:r>
              <w:rPr>
                <w:rFonts w:hint="default" w:ascii="Times New Roman" w:hAnsi="Times New Roman" w:cs="Times New Roman" w:eastAsiaTheme="minorEastAsia"/>
                <w:spacing w:val="3"/>
                <w:sz w:val="24"/>
                <w:szCs w:val="24"/>
                <w:highlight w:val="none"/>
                <w:lang w:val="en-US" w:eastAsia="zh-CN"/>
              </w:rPr>
              <w:t>手机APP人脸登录</w:t>
            </w:r>
            <w:r>
              <w:rPr>
                <w:rFonts w:hint="default" w:ascii="Times New Roman" w:hAnsi="Times New Roman" w:cs="Times New Roman" w:eastAsiaTheme="minorEastAsia"/>
                <w:spacing w:val="3"/>
                <w:sz w:val="24"/>
                <w:szCs w:val="24"/>
                <w:highlight w:val="none"/>
                <w:lang w:eastAsia="en-US"/>
              </w:rPr>
              <w:t>界面</w:t>
            </w:r>
            <w:r>
              <w:rPr>
                <w:rFonts w:hint="default" w:ascii="Times New Roman" w:hAnsi="Times New Roman" w:cs="Times New Roman" w:eastAsiaTheme="minorEastAsia"/>
                <w:spacing w:val="3"/>
                <w:sz w:val="24"/>
                <w:szCs w:val="24"/>
                <w:highlight w:val="none"/>
                <w:lang w:val="en-US" w:eastAsia="zh-CN"/>
              </w:rPr>
              <w:t>及断点续传的</w:t>
            </w:r>
            <w:r>
              <w:rPr>
                <w:rFonts w:hint="default" w:ascii="Times New Roman" w:hAnsi="Times New Roman" w:cs="Times New Roman" w:eastAsiaTheme="minorEastAsia"/>
                <w:spacing w:val="3"/>
                <w:sz w:val="24"/>
                <w:szCs w:val="24"/>
                <w:highlight w:val="none"/>
                <w:lang w:eastAsia="en-US"/>
              </w:rPr>
              <w:t>界面</w:t>
            </w:r>
            <w:r>
              <w:rPr>
                <w:rFonts w:hint="default" w:ascii="Times New Roman" w:hAnsi="Times New Roman" w:cs="Times New Roman" w:eastAsiaTheme="minorEastAsia"/>
                <w:spacing w:val="3"/>
                <w:sz w:val="24"/>
                <w:szCs w:val="24"/>
                <w:highlight w:val="none"/>
                <w:lang w:val="en-US" w:eastAsia="zh-CN"/>
              </w:rPr>
              <w:t>证明</w:t>
            </w:r>
            <w:r>
              <w:rPr>
                <w:rFonts w:hint="default" w:ascii="Times New Roman" w:hAnsi="Times New Roman" w:cs="Times New Roman" w:eastAsiaTheme="minorEastAsia"/>
                <w:sz w:val="24"/>
                <w:szCs w:val="24"/>
                <w:lang w:eastAsia="en-US"/>
              </w:rPr>
              <w:t>并加盖投标人的公章证明</w:t>
            </w:r>
            <w:r>
              <w:rPr>
                <w:rFonts w:hint="default" w:ascii="Times New Roman" w:hAnsi="Times New Roman" w:cs="Times New Roman" w:eastAsiaTheme="minorEastAsia"/>
                <w:spacing w:val="3"/>
                <w:sz w:val="24"/>
                <w:szCs w:val="24"/>
                <w:highlight w:val="none"/>
                <w:lang w:eastAsia="en-US"/>
              </w:rPr>
              <w:t>）</w:t>
            </w:r>
          </w:p>
          <w:p w14:paraId="4817F1FF">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lang w:eastAsia="en-US"/>
              </w:rPr>
              <w:t>（</w:t>
            </w:r>
            <w:r>
              <w:rPr>
                <w:rFonts w:hint="default"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lang w:eastAsia="en-US"/>
              </w:rPr>
              <w:t>）平台支持通过设备开机时间、关机时间、开始录像时间、结束录像时间、开机时长、录像时长、录像采集时间、异常录像等维度查看执法记录仪上传的视频；</w:t>
            </w:r>
            <w:r>
              <w:rPr>
                <w:rFonts w:hint="default" w:ascii="Times New Roman" w:hAnsi="Times New Roman" w:cs="Times New Roman" w:eastAsiaTheme="minorEastAsia"/>
                <w:spacing w:val="3"/>
                <w:sz w:val="24"/>
                <w:szCs w:val="24"/>
                <w:highlight w:val="none"/>
                <w:lang w:eastAsia="en-US"/>
              </w:rPr>
              <w:t>（供相关功能界面</w:t>
            </w:r>
            <w:r>
              <w:rPr>
                <w:rFonts w:hint="default" w:ascii="Times New Roman" w:hAnsi="Times New Roman" w:cs="Times New Roman" w:eastAsiaTheme="minorEastAsia"/>
                <w:sz w:val="24"/>
                <w:szCs w:val="24"/>
                <w:lang w:eastAsia="en-US"/>
              </w:rPr>
              <w:t>并加盖投标人的公章证明</w:t>
            </w:r>
            <w:r>
              <w:rPr>
                <w:rFonts w:hint="default" w:ascii="Times New Roman" w:hAnsi="Times New Roman" w:cs="Times New Roman" w:eastAsiaTheme="minorEastAsia"/>
                <w:spacing w:val="3"/>
                <w:sz w:val="24"/>
                <w:szCs w:val="24"/>
                <w:highlight w:val="none"/>
                <w:lang w:eastAsia="en-US"/>
              </w:rPr>
              <w:t>）</w:t>
            </w:r>
            <w:bookmarkStart w:id="0" w:name="_Toc122813751"/>
            <w:bookmarkStart w:id="1" w:name="_Toc391654604"/>
            <w:bookmarkStart w:id="2" w:name="_Toc398928290"/>
            <w:bookmarkStart w:id="3" w:name="_Toc1948308580"/>
          </w:p>
          <w:bookmarkEnd w:id="0"/>
          <w:bookmarkEnd w:id="1"/>
          <w:bookmarkEnd w:id="2"/>
          <w:bookmarkEnd w:id="3"/>
          <w:p w14:paraId="3C58188F">
            <w:pPr>
              <w:pStyle w:val="3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每有一项不满足扣</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4分，扣完为止。</w:t>
            </w:r>
          </w:p>
        </w:tc>
        <w:tc>
          <w:tcPr>
            <w:tcW w:w="497" w:type="pct"/>
            <w:tcBorders>
              <w:top w:val="single" w:color="auto" w:sz="4" w:space="0"/>
            </w:tcBorders>
            <w:vAlign w:val="center"/>
          </w:tcPr>
          <w:p w14:paraId="174CCA7B">
            <w:pPr>
              <w:autoSpaceDE w:val="0"/>
              <w:autoSpaceDN w:val="0"/>
              <w:jc w:val="left"/>
              <w:rPr>
                <w:rFonts w:hint="default" w:ascii="Times New Roman" w:hAnsi="Times New Roman" w:eastAsia="宋体" w:cs="Times New Roman"/>
                <w:b/>
                <w:bCs/>
                <w:color w:val="FF0000"/>
                <w:sz w:val="24"/>
                <w:szCs w:val="24"/>
                <w:lang w:eastAsia="en-US"/>
              </w:rPr>
            </w:pPr>
          </w:p>
        </w:tc>
      </w:tr>
      <w:tr w14:paraId="31C3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9" w:type="pct"/>
            <w:vMerge w:val="continue"/>
            <w:vAlign w:val="center"/>
          </w:tcPr>
          <w:p w14:paraId="1B2047A6">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shd w:val="clear" w:color="auto" w:fill="auto"/>
            <w:vAlign w:val="center"/>
          </w:tcPr>
          <w:p w14:paraId="6A900572">
            <w:pPr>
              <w:autoSpaceDE w:val="0"/>
              <w:autoSpaceDN w:val="0"/>
              <w:jc w:val="center"/>
              <w:rPr>
                <w:rFonts w:hint="default" w:ascii="Times New Roman" w:hAnsi="Times New Roman" w:cs="Times New Roman" w:eastAsiaTheme="minorEastAsia"/>
                <w:kern w:val="0"/>
                <w:sz w:val="24"/>
                <w:szCs w:val="24"/>
                <w:lang w:eastAsia="en-US"/>
              </w:rPr>
            </w:pPr>
            <w:r>
              <w:rPr>
                <w:rFonts w:hint="default" w:ascii="Times New Roman" w:hAnsi="Times New Roman" w:cs="Times New Roman" w:eastAsiaTheme="minorEastAsia"/>
                <w:kern w:val="0"/>
                <w:sz w:val="24"/>
                <w:szCs w:val="24"/>
                <w:lang w:eastAsia="en-US"/>
              </w:rPr>
              <w:t>执法仪设备参数响应</w:t>
            </w:r>
          </w:p>
          <w:p w14:paraId="4834CC95">
            <w:pPr>
              <w:pStyle w:val="34"/>
              <w:widowControl w:val="0"/>
              <w:autoSpaceDE w:val="0"/>
              <w:autoSpaceDN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.0分）</w:t>
            </w:r>
          </w:p>
          <w:p w14:paraId="44397257">
            <w:pPr>
              <w:pStyle w:val="34"/>
              <w:widowControl w:val="0"/>
              <w:autoSpaceDE w:val="0"/>
              <w:autoSpaceDN w:val="0"/>
              <w:jc w:val="center"/>
              <w:rPr>
                <w:rFonts w:hint="default" w:ascii="Times New Roman" w:hAnsi="Times New Roman" w:cs="Times New Roman" w:eastAsiaTheme="minorEastAsia"/>
                <w:sz w:val="24"/>
                <w:szCs w:val="24"/>
              </w:rPr>
            </w:pPr>
          </w:p>
        </w:tc>
        <w:tc>
          <w:tcPr>
            <w:tcW w:w="2988" w:type="pct"/>
            <w:shd w:val="clear" w:color="auto" w:fill="auto"/>
            <w:vAlign w:val="center"/>
          </w:tcPr>
          <w:p w14:paraId="089F1DC0">
            <w:pPr>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en-US"/>
              </w:rPr>
              <w:t>（1）设备</w:t>
            </w:r>
            <w:r>
              <w:rPr>
                <w:rFonts w:hint="default" w:ascii="Times New Roman" w:hAnsi="Times New Roman" w:cs="Times New Roman" w:eastAsiaTheme="minorEastAsia"/>
                <w:sz w:val="24"/>
                <w:szCs w:val="24"/>
                <w:highlight w:val="none"/>
                <w:lang w:eastAsia="zh-CN"/>
              </w:rPr>
              <w:t>外观颜色应为黑色，</w:t>
            </w:r>
            <w:r>
              <w:rPr>
                <w:rFonts w:hint="default" w:ascii="Times New Roman" w:hAnsi="Times New Roman" w:cs="Times New Roman" w:eastAsiaTheme="minorEastAsia"/>
                <w:sz w:val="24"/>
                <w:szCs w:val="24"/>
                <w:highlight w:val="none"/>
                <w:lang w:eastAsia="en-US"/>
              </w:rPr>
              <w:t>内置存储容量≥64GB</w:t>
            </w:r>
            <w:r>
              <w:rPr>
                <w:rFonts w:hint="default" w:ascii="Times New Roman" w:hAnsi="Times New Roman" w:cs="Times New Roman" w:eastAsiaTheme="minorEastAsia"/>
                <w:sz w:val="24"/>
                <w:szCs w:val="24"/>
                <w:highlight w:val="none"/>
                <w:lang w:eastAsia="zh-CN"/>
              </w:rPr>
              <w:t>，外形尺寸≤</w:t>
            </w:r>
            <w:r>
              <w:rPr>
                <w:rFonts w:hint="default" w:ascii="Times New Roman" w:hAnsi="Times New Roman" w:cs="Times New Roman" w:eastAsiaTheme="minorEastAsia"/>
                <w:sz w:val="24"/>
                <w:szCs w:val="24"/>
                <w:highlight w:val="none"/>
                <w:lang w:val="en-US" w:eastAsia="zh-CN"/>
              </w:rPr>
              <w:t>9cm×6cm×3.5cm（长×宽×高），具备背夹或其他便于固定配件</w:t>
            </w: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eastAsia="zh-CN"/>
              </w:rPr>
              <w:t>（提供相关参数说明书，并加盖原厂公章）</w:t>
            </w:r>
          </w:p>
          <w:p w14:paraId="69B49B6F">
            <w:pPr>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设备应具有彩色显示屏，显示屏对角线尺寸</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2.4英</w:t>
            </w:r>
            <w:r>
              <w:rPr>
                <w:rFonts w:hint="default" w:ascii="Times New Roman" w:hAnsi="Times New Roman" w:cs="Times New Roman" w:eastAsiaTheme="minorEastAsia"/>
                <w:sz w:val="24"/>
                <w:szCs w:val="24"/>
                <w:highlight w:val="none"/>
                <w:lang w:eastAsia="zh-CN"/>
              </w:rPr>
              <w:t>寸</w:t>
            </w:r>
            <w:r>
              <w:rPr>
                <w:rFonts w:hint="default" w:ascii="Times New Roman" w:hAnsi="Times New Roman" w:cs="Times New Roman" w:eastAsiaTheme="minorEastAsia"/>
                <w:sz w:val="24"/>
                <w:szCs w:val="24"/>
                <w:highlight w:val="none"/>
                <w:lang w:eastAsia="en-US"/>
              </w:rPr>
              <w:t>，显示屏显示全场白测试信号时的最大亮度应≥550cd/m²</w:t>
            </w:r>
            <w:r>
              <w:rPr>
                <w:rFonts w:hint="default" w:ascii="Times New Roman" w:hAnsi="Times New Roman" w:cs="Times New Roman" w:eastAsiaTheme="minorEastAsia"/>
                <w:sz w:val="24"/>
                <w:szCs w:val="24"/>
                <w:highlight w:val="none"/>
                <w:lang w:eastAsia="zh-CN"/>
              </w:rPr>
              <w:t>。（提供相关参数说明书，并加盖原厂公章）</w:t>
            </w:r>
          </w:p>
          <w:p w14:paraId="39CCB862">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3</w:t>
            </w:r>
            <w:r>
              <w:rPr>
                <w:rFonts w:hint="default" w:ascii="Times New Roman" w:hAnsi="Times New Roman" w:cs="Times New Roman" w:eastAsiaTheme="minorEastAsia"/>
                <w:sz w:val="24"/>
                <w:szCs w:val="24"/>
                <w:highlight w:val="none"/>
                <w:lang w:eastAsia="zh-CN"/>
              </w:rPr>
              <w:t>）设备应具备录音、录像、抓拍、触屏操控等基础功能，并能支持通过平台远程对讲。（提供相关参数说明或功能界面，并加盖原厂公章）</w:t>
            </w:r>
          </w:p>
          <w:p w14:paraId="73BD9001">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val="en-US" w:eastAsia="zh-CN"/>
              </w:rPr>
              <w:t>4</w:t>
            </w:r>
            <w:r>
              <w:rPr>
                <w:rFonts w:hint="default" w:ascii="Times New Roman" w:hAnsi="Times New Roman" w:cs="Times New Roman" w:eastAsiaTheme="minorEastAsia"/>
                <w:sz w:val="24"/>
                <w:szCs w:val="24"/>
                <w:highlight w:val="none"/>
                <w:lang w:eastAsia="en-US"/>
              </w:rPr>
              <w:t>）设备内置北斗模块，支持通过单北斗模式获取定位信息；支持将采集的定位信息和运行轨迹上报后台，定位信息上报周期可在1s-30min之间进行设置。</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提供具有CNAS或CMA资质的第三方测试机构的证明材料，并加盖原厂公章</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w:t>
            </w:r>
          </w:p>
          <w:p w14:paraId="0BA45C1A">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lang w:eastAsia="en-US"/>
              </w:rPr>
              <w:t>）设备在50%丢包率网络环境</w:t>
            </w:r>
            <w:r>
              <w:rPr>
                <w:rFonts w:hint="default" w:ascii="Times New Roman" w:hAnsi="Times New Roman" w:cs="Times New Roman" w:eastAsiaTheme="minorEastAsia"/>
                <w:sz w:val="24"/>
                <w:szCs w:val="24"/>
                <w:highlight w:val="none"/>
                <w:lang w:eastAsia="zh-CN"/>
              </w:rPr>
              <w:t>下</w:t>
            </w:r>
            <w:r>
              <w:rPr>
                <w:rFonts w:hint="default" w:ascii="Times New Roman" w:hAnsi="Times New Roman" w:cs="Times New Roman" w:eastAsiaTheme="minorEastAsia"/>
                <w:sz w:val="24"/>
                <w:szCs w:val="24"/>
                <w:highlight w:val="none"/>
                <w:lang w:eastAsia="en-US"/>
              </w:rPr>
              <w:t>，平台调阅设备实时预览图像，预览图像应无明显卡顿，设备与平台间的图像传输延时应≤1s。</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提供具有CNAS或CMA资质的第三方测试机构的证明材料，并加盖原厂公章</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w:t>
            </w:r>
          </w:p>
          <w:p w14:paraId="361DDE18">
            <w:pPr>
              <w:pStyle w:val="34"/>
              <w:widowControl w:val="0"/>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6</w:t>
            </w:r>
            <w:r>
              <w:rPr>
                <w:rFonts w:hint="default" w:ascii="Times New Roman" w:hAnsi="Times New Roman" w:cs="Times New Roman" w:eastAsiaTheme="minorEastAsia"/>
                <w:sz w:val="24"/>
                <w:szCs w:val="24"/>
                <w:highlight w:val="none"/>
                <w:lang w:eastAsia="zh-CN"/>
              </w:rPr>
              <w:t>）具备不低于IP68的防尘防水防护等级（提供证明材料，并加盖原厂公章）</w:t>
            </w:r>
          </w:p>
          <w:p w14:paraId="280FBE4D">
            <w:pPr>
              <w:pStyle w:val="3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每有一项不满足扣</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分，扣完为止。</w:t>
            </w:r>
          </w:p>
        </w:tc>
        <w:tc>
          <w:tcPr>
            <w:tcW w:w="497" w:type="pct"/>
            <w:vAlign w:val="center"/>
          </w:tcPr>
          <w:p w14:paraId="04432039">
            <w:pPr>
              <w:autoSpaceDE w:val="0"/>
              <w:autoSpaceDN w:val="0"/>
              <w:jc w:val="left"/>
              <w:rPr>
                <w:rFonts w:hint="default" w:ascii="Times New Roman" w:hAnsi="Times New Roman" w:eastAsia="宋体" w:cs="Times New Roman"/>
                <w:b/>
                <w:bCs/>
                <w:color w:val="FF0000"/>
                <w:sz w:val="24"/>
                <w:szCs w:val="24"/>
                <w:lang w:eastAsia="en-US"/>
              </w:rPr>
            </w:pPr>
          </w:p>
        </w:tc>
      </w:tr>
      <w:tr w14:paraId="09E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9" w:type="pct"/>
            <w:vMerge w:val="continue"/>
            <w:vAlign w:val="center"/>
          </w:tcPr>
          <w:p w14:paraId="4D72DD8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shd w:val="clear" w:color="auto" w:fill="auto"/>
            <w:vAlign w:val="center"/>
          </w:tcPr>
          <w:p w14:paraId="2E9285A9">
            <w:pPr>
              <w:pStyle w:val="34"/>
              <w:widowControl w:val="0"/>
              <w:autoSpaceDE w:val="0"/>
              <w:autoSpaceDN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售后</w:t>
            </w:r>
            <w:r>
              <w:rPr>
                <w:rFonts w:hint="default" w:ascii="Times New Roman" w:hAnsi="Times New Roman" w:cs="Times New Roman" w:eastAsiaTheme="minorEastAsia"/>
                <w:sz w:val="24"/>
                <w:szCs w:val="24"/>
              </w:rPr>
              <w:t>服务响应保障方案</w:t>
            </w:r>
          </w:p>
          <w:p w14:paraId="1D0429AF">
            <w:pPr>
              <w:pStyle w:val="34"/>
              <w:widowControl w:val="0"/>
              <w:autoSpaceDE w:val="0"/>
              <w:autoSpaceDN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7</w:t>
            </w:r>
            <w:r>
              <w:rPr>
                <w:rFonts w:hint="default" w:ascii="Times New Roman" w:hAnsi="Times New Roman" w:cs="Times New Roman" w:eastAsiaTheme="minorEastAsia"/>
                <w:color w:val="auto"/>
                <w:sz w:val="24"/>
                <w:szCs w:val="24"/>
              </w:rPr>
              <w:t>.0分)</w:t>
            </w:r>
          </w:p>
        </w:tc>
        <w:tc>
          <w:tcPr>
            <w:tcW w:w="2988" w:type="pct"/>
            <w:shd w:val="clear" w:color="auto" w:fill="auto"/>
            <w:vAlign w:val="center"/>
          </w:tcPr>
          <w:p w14:paraId="3F24975B">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服务方案内容完整，合理可行，完全满足且优于项目需求的得</w:t>
            </w: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分</w:t>
            </w:r>
            <w:r>
              <w:rPr>
                <w:rFonts w:hint="default" w:ascii="Times New Roman" w:hAnsi="Times New Roman" w:cs="Times New Roman" w:eastAsiaTheme="minorEastAsia"/>
                <w:sz w:val="24"/>
                <w:szCs w:val="24"/>
                <w:lang w:eastAsia="zh-CN"/>
              </w:rPr>
              <w:t>；</w:t>
            </w:r>
          </w:p>
          <w:p w14:paraId="3E984061">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服务方案内容不完整，较合理可行，完全满足项目需求的得</w:t>
            </w:r>
            <w:r>
              <w:rPr>
                <w:rFonts w:hint="default" w:ascii="Times New Roman" w:hAnsi="Times New Roman" w:cs="Times New Roman" w:eastAsiaTheme="minorEastAsia"/>
                <w:sz w:val="24"/>
                <w:szCs w:val="24"/>
                <w:lang w:eastAsia="zh-CN"/>
              </w:rPr>
              <w:t>3</w:t>
            </w:r>
            <w:r>
              <w:rPr>
                <w:rFonts w:hint="default" w:ascii="Times New Roman" w:hAnsi="Times New Roman" w:cs="Times New Roman" w:eastAsiaTheme="minorEastAsia"/>
                <w:sz w:val="24"/>
                <w:szCs w:val="24"/>
              </w:rPr>
              <w:t>分；</w:t>
            </w:r>
          </w:p>
          <w:p w14:paraId="06D8F2D5">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服务方案内容不完整，合理性及可行性差，不能满足项目需求的得</w:t>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rPr>
              <w:t>分；</w:t>
            </w:r>
          </w:p>
          <w:p w14:paraId="33A4B95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kern w:val="0"/>
                <w:sz w:val="24"/>
                <w:szCs w:val="24"/>
                <w:lang w:eastAsia="en-US"/>
              </w:rPr>
            </w:pPr>
            <w:r>
              <w:rPr>
                <w:rFonts w:hint="default" w:ascii="Times New Roman" w:hAnsi="Times New Roman" w:cs="Times New Roman" w:eastAsiaTheme="minorEastAsia"/>
                <w:sz w:val="24"/>
                <w:szCs w:val="24"/>
                <w:lang w:eastAsia="en-US"/>
              </w:rPr>
              <w:t>没有方案或其他情况得0分。</w:t>
            </w:r>
          </w:p>
        </w:tc>
        <w:tc>
          <w:tcPr>
            <w:tcW w:w="497" w:type="pct"/>
            <w:vAlign w:val="center"/>
          </w:tcPr>
          <w:p w14:paraId="69743F07">
            <w:pPr>
              <w:autoSpaceDE w:val="0"/>
              <w:autoSpaceDN w:val="0"/>
              <w:jc w:val="left"/>
              <w:rPr>
                <w:rFonts w:hint="default" w:ascii="Times New Roman" w:hAnsi="Times New Roman" w:eastAsia="宋体" w:cs="Times New Roman"/>
                <w:b/>
                <w:bCs/>
                <w:color w:val="FF0000"/>
                <w:sz w:val="24"/>
                <w:szCs w:val="24"/>
                <w:lang w:eastAsia="en-US"/>
              </w:rPr>
            </w:pPr>
          </w:p>
        </w:tc>
      </w:tr>
      <w:tr w14:paraId="367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329" w:type="pct"/>
            <w:vMerge w:val="restart"/>
            <w:vAlign w:val="center"/>
          </w:tcPr>
          <w:p w14:paraId="40C380CC">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商务部分</w:t>
            </w:r>
          </w:p>
        </w:tc>
        <w:tc>
          <w:tcPr>
            <w:tcW w:w="1186" w:type="pct"/>
            <w:vAlign w:val="center"/>
          </w:tcPr>
          <w:p w14:paraId="0E61EC27">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同类项目业绩</w:t>
            </w:r>
          </w:p>
          <w:p w14:paraId="2725366A">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677500C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投标人</w:t>
            </w:r>
            <w:r>
              <w:rPr>
                <w:rFonts w:hint="default" w:ascii="Times New Roman" w:hAnsi="Times New Roman" w:cs="Times New Roman" w:eastAsiaTheme="minorEastAsia"/>
                <w:sz w:val="24"/>
                <w:szCs w:val="24"/>
                <w:highlight w:val="none"/>
                <w:lang w:eastAsia="en-US"/>
              </w:rPr>
              <w:t>（含其上级公司）</w:t>
            </w: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具备2022年1月1日起至今的政府部门视频监控类项目或视频监控设备不少于30台的视频监控类设备项目经验的，每提供一个得1分，满分5分；需提供项目合同复印件，加盖投标人公章。</w:t>
            </w:r>
          </w:p>
        </w:tc>
        <w:tc>
          <w:tcPr>
            <w:tcW w:w="497" w:type="pct"/>
            <w:vAlign w:val="center"/>
          </w:tcPr>
          <w:p w14:paraId="4C8B5ECD">
            <w:pPr>
              <w:autoSpaceDE w:val="0"/>
              <w:autoSpaceDN w:val="0"/>
              <w:jc w:val="left"/>
              <w:rPr>
                <w:rFonts w:hint="default" w:ascii="Times New Roman" w:hAnsi="Times New Roman" w:eastAsia="宋体" w:cs="Times New Roman"/>
                <w:b/>
                <w:bCs/>
                <w:color w:val="FF0000"/>
                <w:sz w:val="24"/>
                <w:szCs w:val="24"/>
                <w:lang w:eastAsia="en-US"/>
              </w:rPr>
            </w:pPr>
          </w:p>
        </w:tc>
      </w:tr>
      <w:tr w14:paraId="069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9" w:type="pct"/>
            <w:vMerge w:val="continue"/>
            <w:vAlign w:val="center"/>
          </w:tcPr>
          <w:p w14:paraId="17FC30D2">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10E0DB7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w:t>
            </w:r>
          </w:p>
          <w:p w14:paraId="66431098">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（仅限1人）</w:t>
            </w:r>
          </w:p>
          <w:p w14:paraId="0651167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（9.0分）</w:t>
            </w:r>
          </w:p>
        </w:tc>
        <w:tc>
          <w:tcPr>
            <w:tcW w:w="2988" w:type="pct"/>
            <w:vAlign w:val="center"/>
          </w:tcPr>
          <w:p w14:paraId="4D2FCFF4">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投标人拟投入的项目负责人满足：</w:t>
            </w:r>
          </w:p>
          <w:p w14:paraId="6F900C76">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（1）人力资源和社会保障部门或工业和信息化部门颁发的电子技术专业高级工程师证书；</w:t>
            </w:r>
          </w:p>
          <w:p w14:paraId="7BD53012">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（2）人力资源和社会保障部门或工业和信息化部门颁发的信息系统管理工程师证书；</w:t>
            </w:r>
          </w:p>
          <w:p w14:paraId="32B4009F">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（3）人力资源和社会保障部门或工业和信息化部门颁发的数据安全工程师证书；</w:t>
            </w:r>
          </w:p>
          <w:p w14:paraId="19066DA3">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（4）人力资源和社会保障部门或工业和信息化相关部门颁发的软件工程师（高级）证书；</w:t>
            </w:r>
          </w:p>
          <w:p w14:paraId="7D92466D">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（5）人力资源和社会保障部门或工业和信息化部门颁发的数字化政务服务证书；</w:t>
            </w:r>
          </w:p>
          <w:p w14:paraId="3E1C6CD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sz w:val="24"/>
                <w:szCs w:val="24"/>
                <w:lang w:eastAsia="en-US"/>
              </w:rPr>
              <w:t>（6）人力资源和社会保障部门或工业和信息化部门颁发的软件设计师证书；</w:t>
            </w:r>
          </w:p>
          <w:p w14:paraId="30EEC81C">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项目负责人具有以上证书，每提供一个证书得1.5分，本项最高9分，不提供不得分。</w:t>
            </w:r>
          </w:p>
          <w:p w14:paraId="66E94541">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注：须提供有效证书复印件、投标人（含其上级公司）为其缴纳的开标前6个月任意1个月（不含开标当月）的社保证明复印件，以上复印件加盖投标人公章。</w:t>
            </w:r>
          </w:p>
        </w:tc>
        <w:tc>
          <w:tcPr>
            <w:tcW w:w="497" w:type="pct"/>
            <w:vAlign w:val="center"/>
          </w:tcPr>
          <w:p w14:paraId="6AB4BA32">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16A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329" w:type="pct"/>
            <w:vMerge w:val="continue"/>
            <w:vAlign w:val="center"/>
          </w:tcPr>
          <w:p w14:paraId="1569D066">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53EE3C07">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拟投入技术负责人</w:t>
            </w:r>
          </w:p>
          <w:p w14:paraId="4E44924B">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（仅限1人）</w:t>
            </w:r>
          </w:p>
          <w:p w14:paraId="7C39A3A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（6.0分）</w:t>
            </w:r>
          </w:p>
        </w:tc>
        <w:tc>
          <w:tcPr>
            <w:tcW w:w="2988" w:type="pct"/>
            <w:vAlign w:val="center"/>
          </w:tcPr>
          <w:p w14:paraId="05A003C7">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投标人拟投入的技术负责人（仅一人，除项目负责人外）满足：</w:t>
            </w:r>
          </w:p>
          <w:p w14:paraId="082B5A9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（1）人力资源和社会保障部门或工业和信息化部门颁发的数据资源管理师证书；</w:t>
            </w:r>
          </w:p>
          <w:p w14:paraId="45CB3E82">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（2）人力资源和社会保障部门或工业和信息化部门颁发的网络工程师证书；</w:t>
            </w:r>
          </w:p>
          <w:p w14:paraId="5DE0F6C3">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（3）人力资源和社会保障部门或工业和信息化部门颁发的软件工程师证书；</w:t>
            </w:r>
          </w:p>
          <w:p w14:paraId="3A03F3DB">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（4）人力资源和社会保障部门或工业和信息化部门颁发的云计算工程师（中级）证书</w:t>
            </w:r>
          </w:p>
          <w:p w14:paraId="1B4D5A6D">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项目负责人具有以上证书，每提供一个证书得1.5分，本项最高6分，不提供不得分。</w:t>
            </w:r>
          </w:p>
          <w:p w14:paraId="064ECED7">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注：须提供有效证书复印件、投标人（含其上级公司）为其缴纳的开标前6个月任意1个月（不含开标当月）的社保证明复印件，以上复印件加盖投标人公章。</w:t>
            </w:r>
          </w:p>
        </w:tc>
        <w:tc>
          <w:tcPr>
            <w:tcW w:w="497" w:type="pct"/>
            <w:vAlign w:val="center"/>
          </w:tcPr>
          <w:p w14:paraId="25A78C9F">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5B53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9" w:type="pct"/>
            <w:vMerge w:val="continue"/>
            <w:vAlign w:val="center"/>
          </w:tcPr>
          <w:p w14:paraId="34DD3FF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2A2B0788">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专业技术人员配置情况</w:t>
            </w:r>
          </w:p>
          <w:p w14:paraId="04E3B112">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608B365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投标人拟投入本项目的技术人员（除项目负责人、技术负责人外）具有以下证书：</w:t>
            </w:r>
          </w:p>
          <w:p w14:paraId="0F059C4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（1）人力资源和社会保障部门或工业和信息化部门颁发的网络工程师，每提供一名得1分；</w:t>
            </w:r>
          </w:p>
          <w:p w14:paraId="381EF950">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（2）人力资源和社会保障部门或工业和信息化部门颁发的系统集成项目管理工程师，每提供一名得1分；</w:t>
            </w:r>
          </w:p>
          <w:p w14:paraId="45AAD381">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（3）人力资源和社会保障部门或工业和信息化部门颁发的中级或以上工程师（专业为通信类或电子类），每提供一名得1分。</w:t>
            </w:r>
          </w:p>
          <w:p w14:paraId="008DC9C4">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本项合计最高合计5分。</w:t>
            </w:r>
          </w:p>
          <w:p w14:paraId="20FB892B">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sz w:val="24"/>
                <w:szCs w:val="24"/>
                <w:lang w:eastAsia="en-US"/>
              </w:rPr>
              <w:t>注：以上人员不重复得分，若提供人员同时满足多个证书要求，仅按满足其中一个计分；须提供技术人员有效证书复印件、投标人（含其上级公司）为其缴纳的开标前6个月任意1个月（不含开标当月）的社保证明复印件，以上复印件加盖投标人公章。</w:t>
            </w:r>
          </w:p>
        </w:tc>
        <w:tc>
          <w:tcPr>
            <w:tcW w:w="497" w:type="pct"/>
            <w:vAlign w:val="center"/>
          </w:tcPr>
          <w:p w14:paraId="3611C174">
            <w:pPr>
              <w:autoSpaceDE w:val="0"/>
              <w:autoSpaceDN w:val="0"/>
              <w:jc w:val="left"/>
              <w:rPr>
                <w:rFonts w:hint="default" w:ascii="Times New Roman" w:hAnsi="Times New Roman" w:eastAsia="宋体" w:cs="Times New Roman"/>
                <w:b/>
                <w:bCs/>
                <w:color w:val="FF0000"/>
                <w:sz w:val="24"/>
                <w:szCs w:val="24"/>
                <w:lang w:eastAsia="en-US"/>
              </w:rPr>
            </w:pPr>
          </w:p>
        </w:tc>
      </w:tr>
      <w:tr w14:paraId="54A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329" w:type="pct"/>
            <w:vMerge w:val="continue"/>
            <w:vAlign w:val="center"/>
          </w:tcPr>
          <w:p w14:paraId="406D1A9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03460DDB">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企业认证情况</w:t>
            </w:r>
          </w:p>
          <w:p w14:paraId="7619142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292DFE0E">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供应商（含其上级公司）具有质量体系认证证书、环境管理体系认证证书、职业健康安全管理体系认证证书。每项得1分，最高得3分。</w:t>
            </w:r>
          </w:p>
          <w:p w14:paraId="0085D9EE">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注：提供有效的认证证书复印件，未按要求提供复印件或复印件不清晰导致无法判断的不得分。</w:t>
            </w:r>
          </w:p>
        </w:tc>
        <w:tc>
          <w:tcPr>
            <w:tcW w:w="497" w:type="pct"/>
            <w:vAlign w:val="center"/>
          </w:tcPr>
          <w:p w14:paraId="0C81CE6F">
            <w:pPr>
              <w:autoSpaceDE w:val="0"/>
              <w:autoSpaceDN w:val="0"/>
              <w:jc w:val="left"/>
              <w:rPr>
                <w:rFonts w:hint="default" w:ascii="Times New Roman" w:hAnsi="Times New Roman" w:eastAsia="宋体" w:cs="Times New Roman"/>
                <w:b/>
                <w:bCs/>
                <w:color w:val="FF0000"/>
                <w:sz w:val="24"/>
                <w:szCs w:val="24"/>
                <w:lang w:eastAsia="en-US"/>
              </w:rPr>
            </w:pPr>
          </w:p>
        </w:tc>
      </w:tr>
      <w:tr w14:paraId="46B8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329" w:type="pct"/>
            <w:vMerge w:val="continue"/>
            <w:vAlign w:val="center"/>
          </w:tcPr>
          <w:p w14:paraId="22C8134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21B4DF8A">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公司实力</w:t>
            </w:r>
          </w:p>
          <w:p w14:paraId="195C4BAD">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3B6103D0">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投标人（含其上级公司）具有视频监控信息管理平台或设备管理平台软件著作权的，每提供一个得1分，最高得3分。</w:t>
            </w:r>
          </w:p>
          <w:p w14:paraId="22A186BA">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w:t>
            </w:r>
            <w:r>
              <w:rPr>
                <w:rFonts w:hint="default" w:ascii="Times New Roman" w:hAnsi="Times New Roman" w:cs="Times New Roman" w:eastAsiaTheme="minorEastAsia"/>
                <w:sz w:val="24"/>
                <w:szCs w:val="24"/>
                <w:lang w:eastAsia="en-US"/>
              </w:rPr>
              <w:t>名称必须包含“</w:t>
            </w: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视频监控信息管理平台</w:t>
            </w:r>
            <w:r>
              <w:rPr>
                <w:rFonts w:hint="default" w:ascii="Times New Roman" w:hAnsi="Times New Roman" w:cs="Times New Roman" w:eastAsiaTheme="minorEastAsia"/>
                <w:sz w:val="24"/>
                <w:szCs w:val="24"/>
                <w:lang w:eastAsia="en-US"/>
              </w:rPr>
              <w:t>”或“</w:t>
            </w: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设备管理平台</w:t>
            </w:r>
            <w:r>
              <w:rPr>
                <w:rFonts w:hint="default" w:ascii="Times New Roman" w:hAnsi="Times New Roman" w:cs="Times New Roman" w:eastAsiaTheme="minorEastAsia"/>
                <w:sz w:val="24"/>
                <w:szCs w:val="24"/>
                <w:lang w:eastAsia="en-US"/>
              </w:rPr>
              <w:t>”相关字样，否则不得分；须提供有效软件著作权复印件并加盖投标人公章。</w:t>
            </w:r>
          </w:p>
        </w:tc>
        <w:tc>
          <w:tcPr>
            <w:tcW w:w="497" w:type="pct"/>
            <w:vAlign w:val="center"/>
          </w:tcPr>
          <w:p w14:paraId="7E879768">
            <w:pPr>
              <w:autoSpaceDE w:val="0"/>
              <w:autoSpaceDN w:val="0"/>
              <w:jc w:val="left"/>
              <w:rPr>
                <w:rFonts w:hint="default" w:ascii="Times New Roman" w:hAnsi="Times New Roman" w:eastAsia="宋体" w:cs="Times New Roman"/>
                <w:b/>
                <w:bCs/>
                <w:color w:val="FF0000"/>
                <w:sz w:val="24"/>
                <w:szCs w:val="24"/>
                <w:lang w:eastAsia="en-US"/>
              </w:rPr>
            </w:pPr>
          </w:p>
        </w:tc>
      </w:tr>
      <w:tr w14:paraId="24B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329" w:type="pct"/>
            <w:vAlign w:val="center"/>
          </w:tcPr>
          <w:p w14:paraId="6B55234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投标报价</w:t>
            </w:r>
          </w:p>
        </w:tc>
        <w:tc>
          <w:tcPr>
            <w:tcW w:w="1186" w:type="pct"/>
            <w:vAlign w:val="center"/>
          </w:tcPr>
          <w:p w14:paraId="12939A3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投标报价得分</w:t>
            </w:r>
          </w:p>
          <w:p w14:paraId="1862764C">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(10.0分)</w:t>
            </w:r>
          </w:p>
        </w:tc>
        <w:tc>
          <w:tcPr>
            <w:tcW w:w="2988" w:type="pct"/>
            <w:vAlign w:val="center"/>
          </w:tcPr>
          <w:p w14:paraId="5B0BAA04">
            <w:pPr>
              <w:autoSpaceDE w:val="0"/>
              <w:autoSpaceDN w:val="0"/>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投标报价得分＝（评标基准价/投标报价）×价格分值</w:t>
            </w:r>
          </w:p>
          <w:p w14:paraId="4A029BB4">
            <w:pPr>
              <w:autoSpaceDE w:val="0"/>
              <w:autoSpaceDN w:val="0"/>
              <w:jc w:val="left"/>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注：满足招标文件要求且投标价格最低的投标报价为评标基准价。最低报价不是中标的唯一依据。因落实政府采购政策进行价格调整的，以调整后的价格计算评标基准价和投标报价。</w:t>
            </w:r>
          </w:p>
        </w:tc>
        <w:tc>
          <w:tcPr>
            <w:tcW w:w="497" w:type="pct"/>
            <w:vAlign w:val="center"/>
          </w:tcPr>
          <w:p w14:paraId="6D50D21C">
            <w:pPr>
              <w:autoSpaceDE w:val="0"/>
              <w:autoSpaceDN w:val="0"/>
              <w:jc w:val="left"/>
              <w:rPr>
                <w:rFonts w:hint="default" w:ascii="Times New Roman" w:hAnsi="Times New Roman" w:eastAsia="宋体" w:cs="Times New Roman"/>
                <w:b/>
                <w:bCs/>
                <w:color w:val="FF0000"/>
                <w:sz w:val="24"/>
                <w:szCs w:val="24"/>
                <w:lang w:eastAsia="en-US"/>
              </w:rPr>
            </w:pPr>
          </w:p>
        </w:tc>
      </w:tr>
    </w:tbl>
    <w:p w14:paraId="47646FF5">
      <w:pPr>
        <w:ind w:firstLine="640" w:firstLineChars="200"/>
        <w:rPr>
          <w:rFonts w:hint="default" w:ascii="Times New Roman" w:hAnsi="Times New Roman" w:cs="Times New Roman"/>
        </w:rPr>
      </w:pPr>
      <w:r>
        <w:rPr>
          <w:rFonts w:hint="default" w:ascii="Times New Roman" w:hAnsi="Times New Roman" w:cs="Times New Roman"/>
        </w:rPr>
        <w:t>评</w:t>
      </w:r>
      <w:r>
        <w:rPr>
          <w:rFonts w:hint="default" w:ascii="Times New Roman" w:hAnsi="Times New Roman" w:cs="Times New Roman"/>
          <w:lang w:eastAsia="zh-CN"/>
        </w:rPr>
        <w:t>审</w:t>
      </w:r>
      <w:r>
        <w:rPr>
          <w:rFonts w:hint="default" w:ascii="Times New Roman" w:hAnsi="Times New Roman" w:cs="Times New Roman"/>
        </w:rPr>
        <w:t>总得分（100分）=商务部分（35分）+技术部分（55分）+报价部分（10分）。</w:t>
      </w:r>
    </w:p>
    <w:p w14:paraId="6A6D9059">
      <w:pPr>
        <w:pStyle w:val="14"/>
        <w:ind w:firstLine="210"/>
        <w:rPr>
          <w:rFonts w:hint="default" w:ascii="Times New Roman" w:hAnsi="Times New Roman" w:cs="Times New Roman"/>
        </w:rPr>
      </w:pPr>
    </w:p>
    <w:p w14:paraId="20A99F08">
      <w:pPr>
        <w:pStyle w:val="14"/>
        <w:ind w:firstLine="210"/>
        <w:rPr>
          <w:rFonts w:hint="default" w:ascii="Times New Roman" w:hAnsi="Times New Roman" w:cs="Times New Roman"/>
        </w:rPr>
      </w:pPr>
    </w:p>
    <w:p w14:paraId="6013DB72">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14:paraId="1932734A">
      <w:pPr>
        <w:spacing w:line="360" w:lineRule="auto"/>
        <w:rPr>
          <w:rFonts w:hint="default" w:ascii="Times New Roman" w:hAnsi="Times New Roman" w:eastAsia="方正小标宋简体" w:cs="Times New Roman"/>
          <w:bCs/>
          <w:color w:val="000000"/>
          <w:sz w:val="44"/>
          <w:szCs w:val="44"/>
          <w:lang w:val="zh-CN"/>
        </w:rPr>
      </w:pPr>
      <w:r>
        <w:rPr>
          <w:rFonts w:hint="default" w:ascii="Times New Roman" w:hAnsi="Times New Roman" w:cs="Times New Roman"/>
          <w:color w:val="000000"/>
          <w:sz w:val="28"/>
          <w:szCs w:val="28"/>
        </w:rPr>
        <w:t>附件1</w:t>
      </w:r>
    </w:p>
    <w:p w14:paraId="77D40078">
      <w:pPr>
        <w:spacing w:line="360" w:lineRule="auto"/>
        <w:jc w:val="center"/>
        <w:rPr>
          <w:rFonts w:hint="default" w:ascii="Times New Roman" w:hAnsi="Times New Roman" w:eastAsia="方正小标宋简体" w:cs="Times New Roman"/>
          <w:bCs/>
          <w:color w:val="000000"/>
          <w:sz w:val="44"/>
          <w:szCs w:val="44"/>
          <w:lang w:val="zh-CN"/>
        </w:rPr>
      </w:pPr>
      <w:r>
        <w:rPr>
          <w:rFonts w:hint="default" w:ascii="Times New Roman" w:hAnsi="Times New Roman" w:eastAsia="方正小标宋简体" w:cs="Times New Roman"/>
          <w:bCs/>
          <w:color w:val="000000"/>
          <w:sz w:val="44"/>
          <w:szCs w:val="44"/>
          <w:lang w:val="zh-CN"/>
        </w:rPr>
        <w:t>报价表</w:t>
      </w:r>
    </w:p>
    <w:p w14:paraId="481118A2">
      <w:pPr>
        <w:keepNext/>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w:t>
      </w:r>
    </w:p>
    <w:tbl>
      <w:tblPr>
        <w:tblStyle w:val="25"/>
        <w:tblW w:w="8610" w:type="dxa"/>
        <w:tblInd w:w="0" w:type="dxa"/>
        <w:tblLayout w:type="fixed"/>
        <w:tblCellMar>
          <w:top w:w="0" w:type="dxa"/>
          <w:left w:w="108" w:type="dxa"/>
          <w:bottom w:w="0" w:type="dxa"/>
          <w:right w:w="108" w:type="dxa"/>
        </w:tblCellMar>
      </w:tblPr>
      <w:tblGrid>
        <w:gridCol w:w="1809"/>
        <w:gridCol w:w="6801"/>
      </w:tblGrid>
      <w:tr w14:paraId="27EA3819">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12C81382">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项目名称</w:t>
            </w:r>
          </w:p>
        </w:tc>
        <w:tc>
          <w:tcPr>
            <w:tcW w:w="6801" w:type="dxa"/>
            <w:tcBorders>
              <w:top w:val="single" w:color="auto" w:sz="4" w:space="0"/>
              <w:left w:val="single" w:color="auto" w:sz="4" w:space="0"/>
              <w:bottom w:val="single" w:color="auto" w:sz="4" w:space="0"/>
              <w:right w:val="single" w:color="auto" w:sz="4" w:space="0"/>
            </w:tcBorders>
            <w:vAlign w:val="center"/>
          </w:tcPr>
          <w:p w14:paraId="7C225ECF">
            <w:pPr>
              <w:spacing w:line="440" w:lineRule="exact"/>
              <w:jc w:val="center"/>
              <w:rPr>
                <w:rFonts w:hint="eastAsia" w:ascii="Times New Roman" w:hAnsi="Times New Roman" w:eastAsia="仿宋_GB2312" w:cs="Times New Roman"/>
                <w:szCs w:val="21"/>
                <w:lang w:eastAsia="zh-CN"/>
              </w:rPr>
            </w:pPr>
            <w:r>
              <w:rPr>
                <w:rFonts w:hint="default" w:ascii="Times New Roman" w:hAnsi="Times New Roman" w:cs="Times New Roman"/>
                <w:bCs/>
                <w:color w:val="000000"/>
                <w:sz w:val="28"/>
                <w:szCs w:val="28"/>
              </w:rPr>
              <w:t>东莞市建设工程质量监督站</w:t>
            </w:r>
            <w:r>
              <w:rPr>
                <w:rFonts w:hint="eastAsia" w:ascii="Times New Roman" w:hAnsi="Times New Roman" w:cs="Times New Roman"/>
                <w:bCs/>
                <w:color w:val="000000"/>
                <w:sz w:val="28"/>
                <w:szCs w:val="28"/>
                <w:lang w:eastAsia="zh-CN"/>
              </w:rPr>
              <w:t>执法仪及通讯套包租赁服务</w:t>
            </w:r>
          </w:p>
        </w:tc>
      </w:tr>
      <w:tr w14:paraId="5A39F484">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7A21236F">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服务商名称</w:t>
            </w:r>
          </w:p>
        </w:tc>
        <w:tc>
          <w:tcPr>
            <w:tcW w:w="6801" w:type="dxa"/>
            <w:tcBorders>
              <w:top w:val="single" w:color="auto" w:sz="4" w:space="0"/>
              <w:left w:val="single" w:color="auto" w:sz="4" w:space="0"/>
              <w:bottom w:val="single" w:color="auto" w:sz="4" w:space="0"/>
              <w:right w:val="single" w:color="auto" w:sz="4" w:space="0"/>
            </w:tcBorders>
            <w:vAlign w:val="center"/>
          </w:tcPr>
          <w:p w14:paraId="1CC692C6">
            <w:pPr>
              <w:spacing w:line="440" w:lineRule="exact"/>
              <w:jc w:val="center"/>
              <w:rPr>
                <w:rFonts w:hint="default" w:ascii="Times New Roman" w:hAnsi="Times New Roman" w:cs="Times New Roman"/>
                <w:sz w:val="22"/>
                <w:szCs w:val="22"/>
              </w:rPr>
            </w:pPr>
          </w:p>
        </w:tc>
      </w:tr>
      <w:tr w14:paraId="4BBC7038">
        <w:tblPrEx>
          <w:tblCellMar>
            <w:top w:w="0" w:type="dxa"/>
            <w:left w:w="108" w:type="dxa"/>
            <w:bottom w:w="0" w:type="dxa"/>
            <w:right w:w="108" w:type="dxa"/>
          </w:tblCellMar>
        </w:tblPrEx>
        <w:trPr>
          <w:trHeight w:val="1701" w:hRule="atLeast"/>
        </w:trPr>
        <w:tc>
          <w:tcPr>
            <w:tcW w:w="1809" w:type="dxa"/>
            <w:tcBorders>
              <w:top w:val="single" w:color="auto" w:sz="4" w:space="0"/>
              <w:left w:val="single" w:color="auto" w:sz="4" w:space="0"/>
              <w:bottom w:val="single" w:color="auto" w:sz="4" w:space="0"/>
              <w:right w:val="single" w:color="auto" w:sz="4" w:space="0"/>
            </w:tcBorders>
            <w:vAlign w:val="center"/>
          </w:tcPr>
          <w:p w14:paraId="783D11BD">
            <w:pPr>
              <w:pStyle w:val="13"/>
              <w:jc w:val="center"/>
              <w:rPr>
                <w:rFonts w:hint="default" w:ascii="Times New Roman" w:hAnsi="Times New Roman" w:cs="Times New Roman"/>
                <w:sz w:val="22"/>
                <w:szCs w:val="22"/>
              </w:rPr>
            </w:pPr>
            <w:r>
              <w:rPr>
                <w:rFonts w:hint="default" w:ascii="Times New Roman" w:hAnsi="Times New Roman" w:cs="Times New Roman"/>
                <w:sz w:val="22"/>
                <w:szCs w:val="22"/>
              </w:rPr>
              <w:t>服务报价</w:t>
            </w:r>
          </w:p>
          <w:p w14:paraId="2555BFF7">
            <w:pPr>
              <w:pStyle w:val="13"/>
              <w:jc w:val="center"/>
              <w:rPr>
                <w:rFonts w:hint="default" w:ascii="Times New Roman" w:hAnsi="Times New Roman" w:eastAsia="宋体" w:cs="Times New Roman"/>
              </w:rPr>
            </w:pPr>
            <w:r>
              <w:rPr>
                <w:rFonts w:hint="default" w:ascii="Times New Roman" w:hAnsi="Times New Roman" w:cs="Times New Roman"/>
                <w:sz w:val="22"/>
                <w:szCs w:val="22"/>
              </w:rPr>
              <w:t>（元）</w:t>
            </w:r>
          </w:p>
        </w:tc>
        <w:tc>
          <w:tcPr>
            <w:tcW w:w="6801" w:type="dxa"/>
            <w:tcBorders>
              <w:top w:val="single" w:color="auto" w:sz="4" w:space="0"/>
              <w:left w:val="single" w:color="auto" w:sz="4" w:space="0"/>
              <w:bottom w:val="single" w:color="auto" w:sz="4" w:space="0"/>
              <w:right w:val="single" w:color="auto" w:sz="4" w:space="0"/>
            </w:tcBorders>
            <w:vAlign w:val="center"/>
          </w:tcPr>
          <w:p w14:paraId="0143DBBC">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大写：           </w:t>
            </w:r>
          </w:p>
          <w:p w14:paraId="63148A56">
            <w:pPr>
              <w:rPr>
                <w:rFonts w:hint="default" w:ascii="Times New Roman" w:hAnsi="Times New Roman" w:cs="Times New Roman"/>
              </w:rPr>
            </w:pPr>
            <w:r>
              <w:rPr>
                <w:rFonts w:hint="default" w:ascii="Times New Roman" w:hAnsi="Times New Roman" w:cs="Times New Roman"/>
                <w:color w:val="000000"/>
                <w:sz w:val="28"/>
                <w:szCs w:val="28"/>
              </w:rPr>
              <w:t xml:space="preserve">小写：           </w:t>
            </w:r>
          </w:p>
          <w:p w14:paraId="5EC449C1">
            <w:pPr>
              <w:spacing w:line="360" w:lineRule="auto"/>
              <w:ind w:firstLine="660" w:firstLineChars="300"/>
              <w:jc w:val="left"/>
              <w:rPr>
                <w:rFonts w:hint="default" w:ascii="Times New Roman" w:hAnsi="Times New Roman" w:cs="Times New Roman"/>
                <w:sz w:val="22"/>
                <w:szCs w:val="28"/>
              </w:rPr>
            </w:pPr>
          </w:p>
        </w:tc>
      </w:tr>
      <w:tr w14:paraId="2E852858">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0314B224">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服务期</w:t>
            </w:r>
          </w:p>
        </w:tc>
        <w:tc>
          <w:tcPr>
            <w:tcW w:w="6801" w:type="dxa"/>
            <w:tcBorders>
              <w:top w:val="single" w:color="auto" w:sz="4" w:space="0"/>
              <w:left w:val="single" w:color="auto" w:sz="4" w:space="0"/>
              <w:bottom w:val="single" w:color="auto" w:sz="4" w:space="0"/>
              <w:right w:val="single" w:color="auto" w:sz="4" w:space="0"/>
            </w:tcBorders>
            <w:vAlign w:val="center"/>
          </w:tcPr>
          <w:p w14:paraId="7B8DF3DB">
            <w:pPr>
              <w:spacing w:line="440" w:lineRule="exact"/>
              <w:jc w:val="center"/>
              <w:rPr>
                <w:rFonts w:hint="default" w:ascii="Times New Roman" w:hAnsi="Times New Roman" w:cs="Times New Roman"/>
                <w:szCs w:val="21"/>
              </w:rPr>
            </w:pPr>
            <w:r>
              <w:rPr>
                <w:rFonts w:hint="default" w:ascii="Times New Roman" w:hAnsi="Times New Roman" w:cs="Times New Roman"/>
                <w:color w:val="000000"/>
                <w:sz w:val="28"/>
                <w:szCs w:val="28"/>
              </w:rPr>
              <w:t>自合同签订之日起一年内。</w:t>
            </w:r>
          </w:p>
        </w:tc>
      </w:tr>
    </w:tbl>
    <w:p w14:paraId="4C878812">
      <w:p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说明：</w:t>
      </w:r>
    </w:p>
    <w:p w14:paraId="3B33DAEB">
      <w:pPr>
        <w:numPr>
          <w:ilvl w:val="0"/>
          <w:numId w:val="4"/>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本次采购采用填报项目总价的方式进行报价，填报时保留小数点后两位；</w:t>
      </w:r>
    </w:p>
    <w:p w14:paraId="6092EB56">
      <w:pPr>
        <w:numPr>
          <w:ilvl w:val="0"/>
          <w:numId w:val="4"/>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本报价表是项目需求书确定服务范围内的全部服务内容的价格体现，报价应包含项目投入的各项费用及合同实施过程中不可预见费用等。</w:t>
      </w:r>
    </w:p>
    <w:p w14:paraId="0B42DC61">
      <w:pPr>
        <w:numPr>
          <w:ilvl w:val="0"/>
          <w:numId w:val="4"/>
        </w:numPr>
        <w:ind w:firstLine="539" w:firstLineChars="245"/>
        <w:rPr>
          <w:rFonts w:hint="default" w:ascii="Times New Roman" w:hAnsi="Times New Roman" w:cs="Times New Roman"/>
          <w:sz w:val="21"/>
          <w:szCs w:val="21"/>
        </w:rPr>
      </w:pPr>
      <w:r>
        <w:rPr>
          <w:rFonts w:hint="default" w:ascii="Times New Roman" w:hAnsi="Times New Roman" w:cs="Times New Roman"/>
          <w:sz w:val="22"/>
          <w:szCs w:val="22"/>
        </w:rPr>
        <w:t>不提供此表格将被视为没有实质性响应，其响应文件将被拒绝</w:t>
      </w:r>
      <w:r>
        <w:rPr>
          <w:rFonts w:hint="default" w:ascii="Times New Roman" w:hAnsi="Times New Roman" w:cs="Times New Roman"/>
          <w:sz w:val="21"/>
          <w:szCs w:val="21"/>
        </w:rPr>
        <w:t>。</w:t>
      </w:r>
    </w:p>
    <w:p w14:paraId="3BBCCF39">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服务商全称（盖章）：</w:t>
      </w:r>
    </w:p>
    <w:p w14:paraId="172A6864">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服务商代表（签字）：</w:t>
      </w:r>
    </w:p>
    <w:p w14:paraId="6C994B2A">
      <w:pPr>
        <w:ind w:firstLine="220" w:firstLineChars="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日    期：</w:t>
      </w:r>
    </w:p>
    <w:p w14:paraId="6BEB4D65">
      <w:pPr>
        <w:spacing w:line="360" w:lineRule="auto"/>
        <w:ind w:firstLine="560" w:firstLineChars="200"/>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rPr>
        <w:t>附件2</w:t>
      </w:r>
    </w:p>
    <w:p w14:paraId="04EC85D9">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资格条件承诺函</w:t>
      </w:r>
      <w:r>
        <w:rPr>
          <w:rFonts w:hint="default" w:ascii="Times New Roman" w:hAnsi="Times New Roman" w:cs="Times New Roman"/>
          <w:color w:val="000000"/>
          <w:sz w:val="28"/>
          <w:szCs w:val="28"/>
        </w:rPr>
        <w:t xml:space="preserve"> </w:t>
      </w:r>
    </w:p>
    <w:p w14:paraId="3CD119BC">
      <w:pPr>
        <w:shd w:val="clear" w:color="auto" w:fill="FFFFFF"/>
        <w:snapToGrid w:val="0"/>
        <w:spacing w:line="360" w:lineRule="auto"/>
        <w:rPr>
          <w:rFonts w:hint="default" w:ascii="Times New Roman" w:hAnsi="Times New Roman" w:cs="Times New Roman"/>
          <w:color w:val="000000"/>
          <w:sz w:val="22"/>
          <w:szCs w:val="22"/>
        </w:rPr>
      </w:pPr>
    </w:p>
    <w:p w14:paraId="6B62CC25">
      <w:pPr>
        <w:widowControl/>
        <w:snapToGrid w:val="0"/>
        <w:spacing w:line="360" w:lineRule="auto"/>
        <w:jc w:val="left"/>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东莞市建设工程质量监督站</w:t>
      </w:r>
      <w:r>
        <w:rPr>
          <w:rFonts w:hint="default" w:ascii="Times New Roman" w:hAnsi="Times New Roman" w:cs="Times New Roman"/>
          <w:color w:val="000000"/>
          <w:sz w:val="22"/>
          <w:szCs w:val="22"/>
        </w:rPr>
        <w:t>：</w:t>
      </w:r>
    </w:p>
    <w:p w14:paraId="5FF7F131">
      <w:pPr>
        <w:widowControl/>
        <w:spacing w:line="360" w:lineRule="auto"/>
        <w:ind w:firstLine="440" w:firstLineChars="2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我方</w:t>
      </w:r>
      <w:r>
        <w:rPr>
          <w:rFonts w:hint="default" w:ascii="Times New Roman" w:hAnsi="Times New Roman" w:cs="Times New Roman"/>
          <w:color w:val="000000"/>
          <w:sz w:val="22"/>
          <w:szCs w:val="22"/>
          <w:u w:val="single"/>
        </w:rPr>
        <w:t xml:space="preserve">   东莞市建设工程质量监督站</w:t>
      </w:r>
      <w:r>
        <w:rPr>
          <w:rFonts w:hint="eastAsia" w:ascii="Times New Roman" w:hAnsi="Times New Roman" w:cs="Times New Roman"/>
          <w:color w:val="000000"/>
          <w:sz w:val="22"/>
          <w:szCs w:val="22"/>
          <w:u w:val="single"/>
          <w:lang w:eastAsia="zh-CN"/>
        </w:rPr>
        <w:t>执法仪及通讯套包租赁服务</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采购，现郑重承诺，</w:t>
      </w:r>
      <w:r>
        <w:rPr>
          <w:rFonts w:hint="default" w:ascii="Times New Roman" w:hAnsi="Times New Roman" w:cs="Times New Roman"/>
          <w:color w:val="000000"/>
          <w:kern w:val="0"/>
          <w:sz w:val="22"/>
          <w:szCs w:val="22"/>
        </w:rPr>
        <w:t>参加本次政府采购活动前三年内</w:t>
      </w:r>
      <w:r>
        <w:rPr>
          <w:rFonts w:hint="default" w:ascii="Times New Roman" w:hAnsi="Times New Roman" w:cs="Times New Roman"/>
          <w:color w:val="000000"/>
          <w:sz w:val="22"/>
          <w:szCs w:val="22"/>
        </w:rPr>
        <w:t>：</w:t>
      </w:r>
    </w:p>
    <w:p w14:paraId="3D2B111B">
      <w:pPr>
        <w:widowControl/>
        <w:spacing w:line="360" w:lineRule="auto"/>
        <w:ind w:firstLine="440" w:firstLineChars="200"/>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1、我方符合《中华人民共和国政府采购法》第22条规定的资格条件，即：</w:t>
      </w:r>
    </w:p>
    <w:p w14:paraId="3F766074">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（1）我方具有独立承担民事责任的能力；</w:t>
      </w:r>
    </w:p>
    <w:p w14:paraId="0F29D935">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（2）我方具有良好的商业信誉和健全的财务会计制度；</w:t>
      </w:r>
    </w:p>
    <w:p w14:paraId="7FC53EE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（3）我方具有履行合同所必需的设备和专业技术能力；</w:t>
      </w:r>
    </w:p>
    <w:p w14:paraId="0460F27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（4）我方有依法缴纳税收和社会保障资金的良好记录；</w:t>
      </w:r>
    </w:p>
    <w:p w14:paraId="43215F9A">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CFFF08D">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2、到本项目</w:t>
      </w:r>
      <w:r>
        <w:rPr>
          <w:rFonts w:hint="default" w:ascii="Times New Roman" w:hAnsi="Times New Roman" w:cs="Times New Roman"/>
          <w:color w:val="000000"/>
          <w:sz w:val="22"/>
          <w:szCs w:val="22"/>
        </w:rPr>
        <w:t>采购</w:t>
      </w:r>
      <w:r>
        <w:rPr>
          <w:rFonts w:hint="default" w:ascii="Times New Roman" w:hAnsi="Times New Roman" w:cs="Times New Roman"/>
          <w:color w:val="000000"/>
          <w:kern w:val="0"/>
          <w:sz w:val="22"/>
          <w:szCs w:val="22"/>
        </w:rPr>
        <w:t>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color w:val="000000"/>
          <w:kern w:val="0"/>
          <w:sz w:val="22"/>
          <w:szCs w:val="22"/>
        </w:rPr>
        <w:t>www.creditchina.gov.cn）、</w:t>
      </w:r>
      <w:r>
        <w:rPr>
          <w:rFonts w:hint="default" w:ascii="Times New Roman" w:hAnsi="Times New Roman" w:cs="Times New Roman"/>
          <w:color w:val="000000"/>
          <w:kern w:val="0"/>
          <w:sz w:val="22"/>
          <w:szCs w:val="22"/>
        </w:rPr>
        <w:fldChar w:fldCharType="end"/>
      </w:r>
      <w:r>
        <w:rPr>
          <w:rFonts w:hint="default" w:ascii="Times New Roman" w:hAnsi="Times New Roman" w:cs="Times New Roman"/>
          <w:color w:val="000000"/>
          <w:kern w:val="0"/>
          <w:sz w:val="22"/>
          <w:szCs w:val="22"/>
        </w:rPr>
        <w:t xml:space="preserve"> 中国政府采购网（www.ccgp.gov.cn）列入失信被执行人名单、重大税收违法案件当事人名单、政府采购严重违法失信行为记录名单。</w:t>
      </w:r>
    </w:p>
    <w:p w14:paraId="2CEA76F6">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3、我方与参加本次项目同一合同项下政府采购活动的其他服务商不存在单位负责人为同一人或者直接控股、管理关系。</w:t>
      </w:r>
    </w:p>
    <w:p w14:paraId="488077C9">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4、我方不属于公益一类事业单位。</w:t>
      </w:r>
    </w:p>
    <w:p w14:paraId="163AC408">
      <w:pPr>
        <w:widowControl/>
        <w:snapToGrid w:val="0"/>
        <w:ind w:firstLine="440" w:firstLineChars="200"/>
        <w:jc w:val="left"/>
        <w:rPr>
          <w:rFonts w:hint="default" w:ascii="Times New Roman" w:hAnsi="Times New Roman" w:cs="Times New Roman"/>
          <w:color w:val="000000"/>
          <w:kern w:val="0"/>
          <w:sz w:val="22"/>
          <w:szCs w:val="22"/>
        </w:rPr>
      </w:pPr>
    </w:p>
    <w:p w14:paraId="7BDDB78D">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以上承诺如有虚假，</w:t>
      </w:r>
      <w:r>
        <w:rPr>
          <w:rFonts w:hint="default" w:ascii="Times New Roman" w:hAnsi="Times New Roman" w:cs="Times New Roman"/>
          <w:color w:val="000000"/>
          <w:sz w:val="22"/>
          <w:szCs w:val="22"/>
        </w:rPr>
        <w:t>愿接受取消</w:t>
      </w:r>
      <w:r>
        <w:rPr>
          <w:rFonts w:hint="default" w:ascii="Times New Roman" w:hAnsi="Times New Roman" w:cs="Times New Roman"/>
          <w:color w:val="000000"/>
          <w:kern w:val="0"/>
          <w:sz w:val="22"/>
          <w:szCs w:val="22"/>
        </w:rPr>
        <w:t>我方任何资格（投标/成交/签订合同）</w:t>
      </w:r>
      <w:r>
        <w:rPr>
          <w:rFonts w:hint="default" w:ascii="Times New Roman" w:hAnsi="Times New Roman" w:cs="Times New Roman"/>
          <w:color w:val="000000"/>
          <w:sz w:val="22"/>
          <w:szCs w:val="22"/>
        </w:rPr>
        <w:t>及其他任何形式的处理。</w:t>
      </w:r>
    </w:p>
    <w:p w14:paraId="0702B0EC">
      <w:pPr>
        <w:widowControl/>
        <w:snapToGrid w:val="0"/>
        <w:ind w:firstLine="440" w:firstLineChars="200"/>
        <w:jc w:val="left"/>
        <w:rPr>
          <w:rFonts w:hint="default" w:ascii="Times New Roman" w:hAnsi="Times New Roman" w:cs="Times New Roman"/>
          <w:color w:val="000000"/>
          <w:kern w:val="0"/>
          <w:sz w:val="22"/>
          <w:szCs w:val="22"/>
        </w:rPr>
      </w:pPr>
    </w:p>
    <w:p w14:paraId="11CEF153">
      <w:pPr>
        <w:snapToGrid w:val="0"/>
        <w:ind w:firstLine="5060" w:firstLineChars="2300"/>
        <w:rPr>
          <w:rFonts w:hint="default" w:ascii="Times New Roman" w:hAnsi="Times New Roman" w:cs="Times New Roman"/>
          <w:color w:val="000000"/>
          <w:kern w:val="0"/>
          <w:sz w:val="22"/>
          <w:szCs w:val="22"/>
          <w:lang w:val="zh-CN"/>
        </w:rPr>
      </w:pPr>
    </w:p>
    <w:p w14:paraId="6D2EB470">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sz w:val="22"/>
          <w:szCs w:val="22"/>
        </w:rPr>
        <w:t>服务商全称（盖章）</w:t>
      </w:r>
      <w:r>
        <w:rPr>
          <w:rFonts w:hint="default" w:ascii="Times New Roman" w:hAnsi="Times New Roman" w:cs="Times New Roman"/>
          <w:color w:val="000000"/>
          <w:kern w:val="0"/>
          <w:sz w:val="22"/>
          <w:szCs w:val="22"/>
        </w:rPr>
        <w:t xml:space="preserve"> ：</w:t>
      </w:r>
    </w:p>
    <w:p w14:paraId="3A99E691">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法定代表人或其授权代表（签字或盖章）：</w:t>
      </w:r>
    </w:p>
    <w:p w14:paraId="61931B05">
      <w:pPr>
        <w:pStyle w:val="15"/>
        <w:ind w:left="720" w:leftChars="213" w:hanging="39" w:hangingChars="18"/>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日期：     年    月   日</w:t>
      </w:r>
    </w:p>
    <w:p w14:paraId="6FCCA063">
      <w:pPr>
        <w:spacing w:line="360" w:lineRule="auto"/>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附件3</w:t>
      </w:r>
    </w:p>
    <w:p w14:paraId="69FAF90E">
      <w:pPr>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法定代表人授权书</w:t>
      </w:r>
    </w:p>
    <w:p w14:paraId="69109B45">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东莞市建设工程质量监督站：</w:t>
      </w:r>
    </w:p>
    <w:p w14:paraId="724161B8">
      <w:pPr>
        <w:ind w:firstLine="550" w:firstLineChars="250"/>
        <w:rPr>
          <w:rFonts w:hint="default" w:ascii="Times New Roman" w:hAnsi="Times New Roman" w:cs="Times New Roman"/>
          <w:color w:val="000000"/>
          <w:sz w:val="22"/>
          <w:szCs w:val="22"/>
        </w:rPr>
      </w:pP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（服务商全称）法定代表人</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授权</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（全权代表姓名）为全权代表，参加贵站组织的</w:t>
      </w:r>
      <w:r>
        <w:rPr>
          <w:rFonts w:hint="default" w:ascii="Times New Roman" w:hAnsi="Times New Roman" w:cs="Times New Roman"/>
          <w:color w:val="000000"/>
          <w:sz w:val="22"/>
          <w:szCs w:val="22"/>
          <w:u w:val="single"/>
        </w:rPr>
        <w:t xml:space="preserve">  东莞市建设工程质量监督站</w:t>
      </w:r>
      <w:r>
        <w:rPr>
          <w:rFonts w:hint="eastAsia" w:ascii="Times New Roman" w:hAnsi="Times New Roman" w:cs="Times New Roman"/>
          <w:color w:val="000000"/>
          <w:sz w:val="22"/>
          <w:szCs w:val="22"/>
          <w:u w:val="single"/>
          <w:lang w:eastAsia="zh-CN"/>
        </w:rPr>
        <w:t>执法仪及通讯套包租赁服务</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 xml:space="preserve">采购活动，全权代表我方处理采购活动中的一切事宜。         </w:t>
      </w:r>
    </w:p>
    <w:p w14:paraId="28745CD6">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法定代表人</w:t>
      </w:r>
      <w:r>
        <w:rPr>
          <w:rFonts w:hint="default" w:ascii="Times New Roman" w:hAnsi="Times New Roman" w:cs="Times New Roman"/>
          <w:color w:val="000000"/>
          <w:kern w:val="0"/>
          <w:sz w:val="22"/>
          <w:szCs w:val="22"/>
        </w:rPr>
        <w:t>（签字或盖章）</w:t>
      </w:r>
      <w:r>
        <w:rPr>
          <w:rFonts w:hint="default" w:ascii="Times New Roman" w:hAnsi="Times New Roman" w:cs="Times New Roman"/>
          <w:color w:val="000000"/>
          <w:sz w:val="22"/>
          <w:szCs w:val="22"/>
        </w:rPr>
        <w:t>：</w:t>
      </w:r>
    </w:p>
    <w:p w14:paraId="00A4C51E">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服务商全称（公章）：</w:t>
      </w:r>
    </w:p>
    <w:p w14:paraId="5B562B25">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日   期：  </w:t>
      </w:r>
    </w:p>
    <w:p w14:paraId="67C14631">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w:t>
      </w:r>
    </w:p>
    <w:p w14:paraId="6442B2A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 xml:space="preserve">授权代表姓名：                               </w:t>
      </w:r>
    </w:p>
    <w:p w14:paraId="4AAEAFD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职务：</w:t>
      </w:r>
    </w:p>
    <w:p w14:paraId="38E7C17D">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详细通讯地址：</w:t>
      </w:r>
    </w:p>
    <w:p w14:paraId="1A791552">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电话：</w:t>
      </w:r>
    </w:p>
    <w:p w14:paraId="10988FA9">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传真：</w:t>
      </w:r>
    </w:p>
    <w:p w14:paraId="2473EC19">
      <w:pPr>
        <w:ind w:firstLine="539" w:firstLineChars="245"/>
        <w:rPr>
          <w:rFonts w:hint="default" w:ascii="Times New Roman" w:hAnsi="Times New Roman" w:eastAsia="宋体" w:cs="Times New Roman"/>
          <w:b/>
          <w:bCs/>
          <w:color w:val="000000"/>
          <w:sz w:val="22"/>
          <w:szCs w:val="22"/>
        </w:rPr>
      </w:pPr>
      <w:r>
        <w:rPr>
          <w:rFonts w:hint="default" w:ascii="Times New Roman" w:hAnsi="Times New Roman" w:cs="Times New Roman"/>
          <w:color w:val="000000"/>
          <w:sz w:val="22"/>
          <w:szCs w:val="22"/>
        </w:rPr>
        <w:t>邮政编码：</w:t>
      </w:r>
    </w:p>
    <w:p w14:paraId="613879E7">
      <w:pPr>
        <w:rPr>
          <w:rFonts w:hint="default" w:ascii="Times New Roman" w:hAnsi="Times New Roman" w:cs="Times New Roman"/>
        </w:rPr>
      </w:pPr>
      <w:r>
        <w:rPr>
          <w:rFonts w:hint="default" w:ascii="Times New Roman" w:hAnsi="Times New Roman" w:eastAsia="新宋体" w:cs="Times New Roman"/>
          <w:sz w:val="22"/>
          <w:szCs w:val="22"/>
        </w:rPr>
        <w:t xml:space="preserve"> </w:t>
      </w:r>
      <w:r>
        <w:rPr>
          <w:rFonts w:hint="default" w:ascii="Times New Roman" w:hAnsi="Times New Roman" w:cs="Times New Roman"/>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1270</wp:posOffset>
                </wp:positionV>
                <wp:extent cx="5261610" cy="2431415"/>
                <wp:effectExtent l="5080" t="4445" r="6350" b="17780"/>
                <wp:wrapNone/>
                <wp:docPr id="1029" name="矩形 1029"/>
                <wp:cNvGraphicFramePr/>
                <a:graphic xmlns:a="http://schemas.openxmlformats.org/drawingml/2006/main">
                  <a:graphicData uri="http://schemas.microsoft.com/office/word/2010/wordprocessingShape">
                    <wps:wsp>
                      <wps:cNvSpPr/>
                      <wps:spPr>
                        <a:xfrm>
                          <a:off x="0" y="0"/>
                          <a:ext cx="5261610" cy="243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302667">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rect id="_x0000_s1026" o:spid="_x0000_s1026" o:spt="1" style="position:absolute;left:0pt;margin-left:0.4pt;margin-top:0.1pt;height:191.45pt;width:414.3pt;z-index:251659264;mso-width-relative:page;mso-height-relative:page;" fillcolor="#FFFFFF" filled="t" stroked="t" coordsize="21600,21600" o:gfxdata="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IuZ+PUAAAABQEAAA8AAAAAAAAAAQAgAAAAIgAAAGRy&#10;cy9kb3ducmV2LnhtbFBLAQIUABQAAAAIAIdO4kAJC7rQCQIAAD4EAAAOAAAAAAAAAAEAIAAAACMB&#10;AABkcnMvZTJvRG9jLnhtbFBLBQYAAAAABgAGAFkBAACeBQAAAAA=&#10;">
                <v:fill on="t" focussize="0,0"/>
                <v:stroke color="#000000" joinstyle="miter"/>
                <v:imagedata o:title=""/>
                <o:lock v:ext="edit" aspectratio="f"/>
                <v:textbox>
                  <w:txbxContent>
                    <w:p w14:paraId="78302667">
                      <w:r>
                        <w:rPr>
                          <w:rFonts w:hint="eastAsia" w:ascii="新宋体" w:hAnsi="新宋体" w:eastAsia="新宋体"/>
                          <w:sz w:val="22"/>
                          <w:szCs w:val="22"/>
                        </w:rPr>
                        <w:t xml:space="preserve">  授权代表身份证（正反面）：</w:t>
                      </w:r>
                    </w:p>
                  </w:txbxContent>
                </v:textbox>
              </v:rect>
            </w:pict>
          </mc:Fallback>
        </mc:AlternateContent>
      </w:r>
      <w:r>
        <w:rPr>
          <w:rFonts w:hint="default" w:ascii="Times New Roman" w:hAnsi="Times New Roman" w:eastAsia="新宋体" w:cs="Times New Roman"/>
          <w:sz w:val="22"/>
          <w:szCs w:val="22"/>
        </w:rPr>
        <w:t>授权代表身份证（正反面）：</w:t>
      </w:r>
    </w:p>
    <w:p w14:paraId="650D7F41">
      <w:pPr>
        <w:rPr>
          <w:rFonts w:hint="default" w:ascii="Times New Roman" w:hAnsi="Times New Roman" w:cs="Times New Roman"/>
        </w:rPr>
      </w:pPr>
    </w:p>
    <w:p w14:paraId="27D6B425">
      <w:pPr>
        <w:pStyle w:val="3"/>
        <w:ind w:firstLine="0" w:firstLineChars="0"/>
        <w:rPr>
          <w:rFonts w:hint="default" w:ascii="Times New Roman" w:hAnsi="Times New Roman" w:cs="Times New Roman"/>
        </w:rPr>
      </w:pPr>
    </w:p>
    <w:sectPr>
      <w:footerReference r:id="rId5" w:type="first"/>
      <w:footerReference r:id="rId3" w:type="default"/>
      <w:footerReference r:id="rId4"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8DCF">
    <w:pPr>
      <w:framePr w:w="1067" w:h="562" w:hRule="exact" w:wrap="around" w:vAnchor="text" w:hAnchor="page" w:x="9465" w:y="209"/>
      <w:jc w:val="center"/>
    </w:pPr>
    <w:r>
      <w:rPr>
        <w:rFonts w:hint="eastAsia"/>
      </w:rPr>
      <w:t>—</w:t>
    </w:r>
    <w:r>
      <w:fldChar w:fldCharType="begin"/>
    </w:r>
    <w:r>
      <w:instrText xml:space="preserve">PAGE  </w:instrText>
    </w:r>
    <w:r>
      <w:fldChar w:fldCharType="separate"/>
    </w:r>
    <w:r>
      <w:t>3</w:t>
    </w:r>
    <w:r>
      <w:fldChar w:fldCharType="end"/>
    </w:r>
    <w:r>
      <w:rPr>
        <w:rFonts w:hint="eastAsia"/>
      </w:rPr>
      <w:t>—</w:t>
    </w:r>
  </w:p>
  <w:p w14:paraId="2AF307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5BE8">
    <w:pPr>
      <w:framePr w:wrap="notBeside" w:vAnchor="page" w:hAnchor="page" w:x="1625" w:y="15422"/>
    </w:pPr>
    <w:r>
      <w:rPr>
        <w:rFonts w:hint="eastAsia"/>
      </w:rPr>
      <w:t>—</w:t>
    </w:r>
    <w:r>
      <w:fldChar w:fldCharType="begin"/>
    </w:r>
    <w:r>
      <w:instrText xml:space="preserve">PAGE  </w:instrText>
    </w:r>
    <w:r>
      <w:fldChar w:fldCharType="separate"/>
    </w:r>
    <w:r>
      <w:t>2</w:t>
    </w:r>
    <w:r>
      <w:fldChar w:fldCharType="end"/>
    </w:r>
    <w:r>
      <w:rPr>
        <w:rFonts w:hint="eastAsia"/>
      </w:rPr>
      <w:t>—</w:t>
    </w:r>
  </w:p>
  <w:p w14:paraId="654F9A6C">
    <w:pP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D6D9">
    <w:pPr>
      <w:ind w:right="7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pStyle w:val="8"/>
      <w:lvlText w:val="%6"/>
      <w:legacy w:legacy="1" w:legacySpace="0" w:legacyIndent="0"/>
      <w:lvlJc w:val="left"/>
      <w:rPr>
        <w:rFonts w:hint="eastAsia" w:ascii="宋体" w:eastAsia="宋体"/>
      </w:rPr>
    </w:lvl>
    <w:lvl w:ilvl="6" w:tentative="0">
      <w:start w:val="0"/>
      <w:numFmt w:val="decimal"/>
      <w:pStyle w:val="9"/>
      <w:lvlText w:val="%7"/>
      <w:legacy w:legacy="1" w:legacySpace="0" w:legacyIndent="0"/>
      <w:lvlJc w:val="left"/>
      <w:rPr>
        <w:rFonts w:hint="eastAsia" w:ascii="宋体" w:eastAsia="宋体"/>
      </w:rPr>
    </w:lvl>
    <w:lvl w:ilvl="7" w:tentative="0">
      <w:start w:val="0"/>
      <w:numFmt w:val="decimal"/>
      <w:pStyle w:val="10"/>
      <w:lvlText w:val="%8"/>
      <w:legacy w:legacy="1" w:legacySpace="0" w:legacyIndent="0"/>
      <w:lvlJc w:val="left"/>
      <w:rPr>
        <w:rFonts w:hint="eastAsia" w:ascii="宋体" w:eastAsia="宋体"/>
      </w:rPr>
    </w:lvl>
    <w:lvl w:ilvl="8" w:tentative="0">
      <w:start w:val="0"/>
      <w:numFmt w:val="decimal"/>
      <w:pStyle w:val="11"/>
      <w:lvlText w:val="%9"/>
      <w:legacy w:legacy="1" w:legacySpace="0" w:legacyIndent="0"/>
      <w:lvlJc w:val="left"/>
      <w:rPr>
        <w:rFonts w:hint="eastAsia" w:ascii="宋体" w:eastAsia="宋体"/>
      </w:rPr>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2B266DE4"/>
    <w:multiLevelType w:val="singleLevel"/>
    <w:tmpl w:val="2B266DE4"/>
    <w:lvl w:ilvl="0" w:tentative="0">
      <w:start w:val="1"/>
      <w:numFmt w:val="chineseCounting"/>
      <w:suff w:val="nothing"/>
      <w:lvlText w:val="（%1）"/>
      <w:lvlJc w:val="left"/>
      <w:rPr>
        <w:rFonts w:hint="eastAsia"/>
      </w:rPr>
    </w:lvl>
  </w:abstractNum>
  <w:abstractNum w:abstractNumId="3">
    <w:nsid w:val="7DD34874"/>
    <w:multiLevelType w:val="singleLevel"/>
    <w:tmpl w:val="7DD3487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lignBordersAndEdg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4NjY1ZjY0NjE0NDhkNGM0MDU1YmY0MzI5NzIzNjkifQ=="/>
  </w:docVars>
  <w:rsids>
    <w:rsidRoot w:val="00172A27"/>
    <w:rsid w:val="00013C15"/>
    <w:rsid w:val="00017CD0"/>
    <w:rsid w:val="000306FC"/>
    <w:rsid w:val="000442F3"/>
    <w:rsid w:val="000661C3"/>
    <w:rsid w:val="00067264"/>
    <w:rsid w:val="000707C3"/>
    <w:rsid w:val="0007500D"/>
    <w:rsid w:val="000764FA"/>
    <w:rsid w:val="00086933"/>
    <w:rsid w:val="000A057C"/>
    <w:rsid w:val="000B770A"/>
    <w:rsid w:val="000E5620"/>
    <w:rsid w:val="000F2F72"/>
    <w:rsid w:val="00105145"/>
    <w:rsid w:val="00111C07"/>
    <w:rsid w:val="001152E3"/>
    <w:rsid w:val="00115DA0"/>
    <w:rsid w:val="00122F7A"/>
    <w:rsid w:val="00140927"/>
    <w:rsid w:val="00171A1E"/>
    <w:rsid w:val="00172A27"/>
    <w:rsid w:val="001947FE"/>
    <w:rsid w:val="001B1D84"/>
    <w:rsid w:val="001B761D"/>
    <w:rsid w:val="001C6DC2"/>
    <w:rsid w:val="001E1BA4"/>
    <w:rsid w:val="001F1615"/>
    <w:rsid w:val="001F62EF"/>
    <w:rsid w:val="002000C9"/>
    <w:rsid w:val="0021022E"/>
    <w:rsid w:val="00212CA0"/>
    <w:rsid w:val="002357E0"/>
    <w:rsid w:val="00256800"/>
    <w:rsid w:val="002645C8"/>
    <w:rsid w:val="00284322"/>
    <w:rsid w:val="00293F60"/>
    <w:rsid w:val="00295B41"/>
    <w:rsid w:val="002975C2"/>
    <w:rsid w:val="003224B6"/>
    <w:rsid w:val="0034421C"/>
    <w:rsid w:val="00380116"/>
    <w:rsid w:val="00391489"/>
    <w:rsid w:val="003B62D6"/>
    <w:rsid w:val="003D4612"/>
    <w:rsid w:val="0042419C"/>
    <w:rsid w:val="004522E4"/>
    <w:rsid w:val="00457118"/>
    <w:rsid w:val="00483FB0"/>
    <w:rsid w:val="004A2681"/>
    <w:rsid w:val="004A2D4C"/>
    <w:rsid w:val="004C2023"/>
    <w:rsid w:val="00517238"/>
    <w:rsid w:val="00523B57"/>
    <w:rsid w:val="00527317"/>
    <w:rsid w:val="005617F3"/>
    <w:rsid w:val="00566A3C"/>
    <w:rsid w:val="005700E1"/>
    <w:rsid w:val="0057562A"/>
    <w:rsid w:val="005B083F"/>
    <w:rsid w:val="005B57F3"/>
    <w:rsid w:val="005D6168"/>
    <w:rsid w:val="00614A86"/>
    <w:rsid w:val="00617921"/>
    <w:rsid w:val="006432FD"/>
    <w:rsid w:val="006521DB"/>
    <w:rsid w:val="006524A4"/>
    <w:rsid w:val="00654F18"/>
    <w:rsid w:val="00660F61"/>
    <w:rsid w:val="006639C5"/>
    <w:rsid w:val="006A7954"/>
    <w:rsid w:val="006C64D3"/>
    <w:rsid w:val="006D0B1E"/>
    <w:rsid w:val="006D664F"/>
    <w:rsid w:val="00714F51"/>
    <w:rsid w:val="0072201F"/>
    <w:rsid w:val="00726032"/>
    <w:rsid w:val="00741695"/>
    <w:rsid w:val="00742FF8"/>
    <w:rsid w:val="00753606"/>
    <w:rsid w:val="00764CFA"/>
    <w:rsid w:val="007A2426"/>
    <w:rsid w:val="007A5C5B"/>
    <w:rsid w:val="007C18AB"/>
    <w:rsid w:val="007D7EA4"/>
    <w:rsid w:val="008056B8"/>
    <w:rsid w:val="00807BDC"/>
    <w:rsid w:val="00824F92"/>
    <w:rsid w:val="008433A5"/>
    <w:rsid w:val="008A546F"/>
    <w:rsid w:val="008A6105"/>
    <w:rsid w:val="008B1621"/>
    <w:rsid w:val="008B2A13"/>
    <w:rsid w:val="008F3A82"/>
    <w:rsid w:val="00901A9A"/>
    <w:rsid w:val="00905E6C"/>
    <w:rsid w:val="00907475"/>
    <w:rsid w:val="00907EF3"/>
    <w:rsid w:val="009238B8"/>
    <w:rsid w:val="0093318E"/>
    <w:rsid w:val="00936A95"/>
    <w:rsid w:val="00947A3B"/>
    <w:rsid w:val="00955E9C"/>
    <w:rsid w:val="0095665B"/>
    <w:rsid w:val="00961D25"/>
    <w:rsid w:val="00967E74"/>
    <w:rsid w:val="00982ED9"/>
    <w:rsid w:val="009911E9"/>
    <w:rsid w:val="00994802"/>
    <w:rsid w:val="009A292C"/>
    <w:rsid w:val="009A4F0C"/>
    <w:rsid w:val="009A6EF2"/>
    <w:rsid w:val="009C5E03"/>
    <w:rsid w:val="009D318F"/>
    <w:rsid w:val="009F5600"/>
    <w:rsid w:val="00A20EE2"/>
    <w:rsid w:val="00A30DE5"/>
    <w:rsid w:val="00A358C0"/>
    <w:rsid w:val="00A450E9"/>
    <w:rsid w:val="00A8355F"/>
    <w:rsid w:val="00A8757E"/>
    <w:rsid w:val="00AA31BE"/>
    <w:rsid w:val="00AA70C1"/>
    <w:rsid w:val="00AA7CAA"/>
    <w:rsid w:val="00AB5EA8"/>
    <w:rsid w:val="00AB605B"/>
    <w:rsid w:val="00AD0583"/>
    <w:rsid w:val="00AE5957"/>
    <w:rsid w:val="00B01CCB"/>
    <w:rsid w:val="00B21BDF"/>
    <w:rsid w:val="00B25A02"/>
    <w:rsid w:val="00B40F3A"/>
    <w:rsid w:val="00B43EFA"/>
    <w:rsid w:val="00B70EBB"/>
    <w:rsid w:val="00B74DC6"/>
    <w:rsid w:val="00B87DE4"/>
    <w:rsid w:val="00B97CC4"/>
    <w:rsid w:val="00BA3B9E"/>
    <w:rsid w:val="00BC13BD"/>
    <w:rsid w:val="00BC549A"/>
    <w:rsid w:val="00C066B0"/>
    <w:rsid w:val="00C076FE"/>
    <w:rsid w:val="00C128BE"/>
    <w:rsid w:val="00C316A9"/>
    <w:rsid w:val="00C613B2"/>
    <w:rsid w:val="00C65C2B"/>
    <w:rsid w:val="00C95D21"/>
    <w:rsid w:val="00CA4E8F"/>
    <w:rsid w:val="00CA64DB"/>
    <w:rsid w:val="00CA7859"/>
    <w:rsid w:val="00CC51E6"/>
    <w:rsid w:val="00CC7ABD"/>
    <w:rsid w:val="00CE6A0E"/>
    <w:rsid w:val="00CE7660"/>
    <w:rsid w:val="00CF37C5"/>
    <w:rsid w:val="00D03827"/>
    <w:rsid w:val="00D04E7B"/>
    <w:rsid w:val="00D156AC"/>
    <w:rsid w:val="00D23822"/>
    <w:rsid w:val="00D316EB"/>
    <w:rsid w:val="00D34202"/>
    <w:rsid w:val="00D36B77"/>
    <w:rsid w:val="00D47A0C"/>
    <w:rsid w:val="00D6578A"/>
    <w:rsid w:val="00D82595"/>
    <w:rsid w:val="00DA08A9"/>
    <w:rsid w:val="00DA3413"/>
    <w:rsid w:val="00DC2705"/>
    <w:rsid w:val="00DC54FC"/>
    <w:rsid w:val="00DC5A47"/>
    <w:rsid w:val="00DD7C67"/>
    <w:rsid w:val="00DF21C8"/>
    <w:rsid w:val="00DF7D5E"/>
    <w:rsid w:val="00E23515"/>
    <w:rsid w:val="00E27088"/>
    <w:rsid w:val="00E3485A"/>
    <w:rsid w:val="00E374F9"/>
    <w:rsid w:val="00E400EE"/>
    <w:rsid w:val="00E41C02"/>
    <w:rsid w:val="00E96FB3"/>
    <w:rsid w:val="00EA0269"/>
    <w:rsid w:val="00EA34FD"/>
    <w:rsid w:val="00EF132A"/>
    <w:rsid w:val="00F01FEA"/>
    <w:rsid w:val="00F12039"/>
    <w:rsid w:val="00F1581F"/>
    <w:rsid w:val="00F41F93"/>
    <w:rsid w:val="00F46C72"/>
    <w:rsid w:val="00F547B9"/>
    <w:rsid w:val="00F60959"/>
    <w:rsid w:val="00F6396C"/>
    <w:rsid w:val="00F703B4"/>
    <w:rsid w:val="00F8102E"/>
    <w:rsid w:val="00FA2B86"/>
    <w:rsid w:val="00FB3DB4"/>
    <w:rsid w:val="00FC12CF"/>
    <w:rsid w:val="00FC15F6"/>
    <w:rsid w:val="00FC6146"/>
    <w:rsid w:val="00FE72CD"/>
    <w:rsid w:val="00FF3126"/>
    <w:rsid w:val="067840E7"/>
    <w:rsid w:val="07E2107E"/>
    <w:rsid w:val="0A583993"/>
    <w:rsid w:val="0CC31935"/>
    <w:rsid w:val="123E174D"/>
    <w:rsid w:val="16F845E1"/>
    <w:rsid w:val="16F954B3"/>
    <w:rsid w:val="1C706078"/>
    <w:rsid w:val="1D4D53BB"/>
    <w:rsid w:val="1D5D7A1F"/>
    <w:rsid w:val="1EE319DF"/>
    <w:rsid w:val="1FE50445"/>
    <w:rsid w:val="226A700D"/>
    <w:rsid w:val="23C10881"/>
    <w:rsid w:val="256A2EB1"/>
    <w:rsid w:val="26A27623"/>
    <w:rsid w:val="26EC0495"/>
    <w:rsid w:val="28AD7F47"/>
    <w:rsid w:val="2BF44FF3"/>
    <w:rsid w:val="2C6901AF"/>
    <w:rsid w:val="2CAE56E3"/>
    <w:rsid w:val="2F632057"/>
    <w:rsid w:val="2FE76FA6"/>
    <w:rsid w:val="34A42225"/>
    <w:rsid w:val="371F3DE4"/>
    <w:rsid w:val="373D1B35"/>
    <w:rsid w:val="3777A321"/>
    <w:rsid w:val="38685602"/>
    <w:rsid w:val="3A741181"/>
    <w:rsid w:val="3A971EE4"/>
    <w:rsid w:val="3AE113B1"/>
    <w:rsid w:val="3B025884"/>
    <w:rsid w:val="3B3E30E3"/>
    <w:rsid w:val="3B7507E7"/>
    <w:rsid w:val="3CF1348B"/>
    <w:rsid w:val="3F101C5E"/>
    <w:rsid w:val="3F7F4806"/>
    <w:rsid w:val="40E23C46"/>
    <w:rsid w:val="426E73BA"/>
    <w:rsid w:val="44A43596"/>
    <w:rsid w:val="45FF5ADA"/>
    <w:rsid w:val="47105713"/>
    <w:rsid w:val="47DC7403"/>
    <w:rsid w:val="4BB7C195"/>
    <w:rsid w:val="4BBB6448"/>
    <w:rsid w:val="4F0674AB"/>
    <w:rsid w:val="4FDF7357"/>
    <w:rsid w:val="51414991"/>
    <w:rsid w:val="53984706"/>
    <w:rsid w:val="544C0A9A"/>
    <w:rsid w:val="548337AD"/>
    <w:rsid w:val="59D171E3"/>
    <w:rsid w:val="5A932EA3"/>
    <w:rsid w:val="5D0C77C5"/>
    <w:rsid w:val="5D2C6545"/>
    <w:rsid w:val="5F662B46"/>
    <w:rsid w:val="5FBF3844"/>
    <w:rsid w:val="63162B5A"/>
    <w:rsid w:val="63513CDC"/>
    <w:rsid w:val="66E932C6"/>
    <w:rsid w:val="66F978FF"/>
    <w:rsid w:val="68356C2D"/>
    <w:rsid w:val="68FF7FE1"/>
    <w:rsid w:val="6AC93582"/>
    <w:rsid w:val="6BCB1A1D"/>
    <w:rsid w:val="6BE262F0"/>
    <w:rsid w:val="6E3B4133"/>
    <w:rsid w:val="6F37A7D4"/>
    <w:rsid w:val="701F5A89"/>
    <w:rsid w:val="709E5899"/>
    <w:rsid w:val="723D2CFA"/>
    <w:rsid w:val="7253648D"/>
    <w:rsid w:val="74B76D91"/>
    <w:rsid w:val="785E609E"/>
    <w:rsid w:val="79CA9516"/>
    <w:rsid w:val="7B037419"/>
    <w:rsid w:val="7C7D6AE3"/>
    <w:rsid w:val="7CDD32B9"/>
    <w:rsid w:val="7CFF5813"/>
    <w:rsid w:val="7F5F14D3"/>
    <w:rsid w:val="7F9F4CC9"/>
    <w:rsid w:val="7FA2A965"/>
    <w:rsid w:val="7FC7F02F"/>
    <w:rsid w:val="7FFEE4AC"/>
    <w:rsid w:val="ABDE26B9"/>
    <w:rsid w:val="BB77CD33"/>
    <w:rsid w:val="BDED4DBD"/>
    <w:rsid w:val="BEAE4D14"/>
    <w:rsid w:val="BFDFEA81"/>
    <w:rsid w:val="C7EB69F0"/>
    <w:rsid w:val="CCA69A27"/>
    <w:rsid w:val="CF5EF4CB"/>
    <w:rsid w:val="CFFF7318"/>
    <w:rsid w:val="DE991E76"/>
    <w:rsid w:val="EBFEAEB1"/>
    <w:rsid w:val="F74F55BA"/>
    <w:rsid w:val="FDBF7BC5"/>
    <w:rsid w:val="FEDBDDBB"/>
    <w:rsid w:val="FEFCDAE7"/>
    <w:rsid w:val="FF6D75D3"/>
    <w:rsid w:val="FFBFBA16"/>
    <w:rsid w:val="FFDF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3"/>
    <w:next w:val="3"/>
    <w:qFormat/>
    <w:uiPriority w:val="0"/>
    <w:pPr>
      <w:widowControl/>
      <w:numPr>
        <w:ilvl w:val="0"/>
        <w:numId w:val="1"/>
      </w:numPr>
      <w:adjustRightInd w:val="0"/>
      <w:spacing w:line="600" w:lineRule="exact"/>
      <w:ind w:firstLine="0" w:firstLineChars="0"/>
      <w:jc w:val="center"/>
      <w:textAlignment w:val="baseline"/>
      <w:outlineLvl w:val="0"/>
    </w:pPr>
    <w:rPr>
      <w:rFonts w:eastAsia="方正小标宋简体"/>
      <w:kern w:val="44"/>
      <w:sz w:val="44"/>
      <w:szCs w:val="44"/>
    </w:rPr>
  </w:style>
  <w:style w:type="paragraph" w:styleId="4">
    <w:name w:val="heading 2"/>
    <w:basedOn w:val="3"/>
    <w:next w:val="3"/>
    <w:qFormat/>
    <w:uiPriority w:val="0"/>
    <w:pPr>
      <w:widowControl/>
      <w:adjustRightInd w:val="0"/>
      <w:ind w:firstLine="200" w:firstLineChars="200"/>
      <w:textAlignment w:val="baseline"/>
      <w:outlineLvl w:val="1"/>
    </w:pPr>
    <w:rPr>
      <w:rFonts w:ascii="Arial" w:hAnsi="Arial" w:eastAsia="黑体"/>
      <w:kern w:val="0"/>
      <w:szCs w:val="20"/>
    </w:rPr>
  </w:style>
  <w:style w:type="paragraph" w:styleId="5">
    <w:name w:val="heading 3"/>
    <w:basedOn w:val="1"/>
    <w:next w:val="1"/>
    <w:qFormat/>
    <w:uiPriority w:val="0"/>
    <w:pPr>
      <w:widowControl/>
      <w:adjustRightInd w:val="0"/>
      <w:spacing w:line="560" w:lineRule="exact"/>
      <w:ind w:firstLine="200" w:firstLineChars="200"/>
      <w:textAlignment w:val="baseline"/>
      <w:outlineLvl w:val="2"/>
    </w:pPr>
    <w:rPr>
      <w:rFonts w:eastAsia="楷体_GB2312"/>
      <w:kern w:val="0"/>
      <w:szCs w:val="20"/>
    </w:rPr>
  </w:style>
  <w:style w:type="paragraph" w:styleId="6">
    <w:name w:val="heading 4"/>
    <w:basedOn w:val="3"/>
    <w:next w:val="3"/>
    <w:qFormat/>
    <w:uiPriority w:val="0"/>
    <w:pPr>
      <w:widowControl/>
      <w:adjustRightInd w:val="0"/>
      <w:ind w:firstLine="200" w:firstLineChars="200"/>
      <w:textAlignment w:val="baseline"/>
      <w:outlineLvl w:val="3"/>
    </w:pPr>
    <w:rPr>
      <w:b/>
      <w:kern w:val="0"/>
      <w:szCs w:val="32"/>
    </w:rPr>
  </w:style>
  <w:style w:type="paragraph" w:styleId="7">
    <w:name w:val="heading 5"/>
    <w:basedOn w:val="3"/>
    <w:next w:val="3"/>
    <w:qFormat/>
    <w:uiPriority w:val="0"/>
    <w:pPr>
      <w:widowControl/>
      <w:adjustRightInd w:val="0"/>
      <w:ind w:firstLine="200" w:firstLineChars="200"/>
      <w:textAlignment w:val="baseline"/>
      <w:outlineLvl w:val="4"/>
    </w:pPr>
    <w:rPr>
      <w:kern w:val="0"/>
      <w:szCs w:val="20"/>
    </w:rPr>
  </w:style>
  <w:style w:type="paragraph" w:styleId="8">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3">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12">
    <w:name w:val="Normal Indent"/>
    <w:basedOn w:val="1"/>
    <w:qFormat/>
    <w:uiPriority w:val="0"/>
    <w:pPr>
      <w:ind w:firstLine="420" w:firstLineChars="200"/>
    </w:pPr>
  </w:style>
  <w:style w:type="paragraph" w:styleId="13">
    <w:name w:val="Body Text"/>
    <w:basedOn w:val="1"/>
    <w:next w:val="14"/>
    <w:qFormat/>
    <w:uiPriority w:val="1"/>
    <w:pPr>
      <w:spacing w:after="120"/>
    </w:pPr>
  </w:style>
  <w:style w:type="paragraph" w:styleId="14">
    <w:name w:val="Body Text First Indent"/>
    <w:basedOn w:val="13"/>
    <w:qFormat/>
    <w:uiPriority w:val="99"/>
    <w:pPr>
      <w:ind w:firstLine="420" w:firstLineChars="100"/>
    </w:pPr>
    <w:rPr>
      <w:rFonts w:eastAsia="宋体"/>
      <w:sz w:val="21"/>
    </w:rPr>
  </w:style>
  <w:style w:type="paragraph" w:styleId="15">
    <w:name w:val="Body Text Indent"/>
    <w:basedOn w:val="1"/>
    <w:next w:val="16"/>
    <w:qFormat/>
    <w:uiPriority w:val="0"/>
    <w:pPr>
      <w:ind w:left="480" w:hanging="480" w:hangingChars="200"/>
    </w:pPr>
    <w:rPr>
      <w:sz w:val="24"/>
    </w:rPr>
  </w:style>
  <w:style w:type="paragraph" w:customStyle="1" w:styleId="16">
    <w:name w:val="正文文本首行缩进 21"/>
    <w:basedOn w:val="17"/>
    <w:qFormat/>
    <w:uiPriority w:val="99"/>
    <w:pPr>
      <w:tabs>
        <w:tab w:val="right" w:leader="dot" w:pos="8268"/>
      </w:tabs>
      <w:spacing w:line="200" w:lineRule="atLeast"/>
      <w:ind w:firstLine="420"/>
    </w:pPr>
    <w:rPr>
      <w:rFonts w:hAnsi="Courier New"/>
      <w:spacing w:val="-4"/>
      <w:sz w:val="18"/>
    </w:rPr>
  </w:style>
  <w:style w:type="paragraph" w:customStyle="1" w:styleId="17">
    <w:name w:val="正文缩进1"/>
    <w:basedOn w:val="18"/>
    <w:next w:val="16"/>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18">
    <w:name w:val="正文1"/>
    <w:basedOn w:val="19"/>
    <w:next w:val="20"/>
    <w:qFormat/>
    <w:uiPriority w:val="0"/>
    <w:pPr>
      <w:widowControl/>
      <w:spacing w:line="360" w:lineRule="auto"/>
      <w:ind w:left="360" w:firstLine="420"/>
      <w:jc w:val="left"/>
    </w:pPr>
    <w:rPr>
      <w:rFonts w:ascii="宋体" w:hAnsi="宋体" w:cs="宋体"/>
      <w:kern w:val="0"/>
      <w:szCs w:val="20"/>
    </w:rPr>
  </w:style>
  <w:style w:type="paragraph" w:styleId="19">
    <w:name w:val="toc 3"/>
    <w:basedOn w:val="1"/>
    <w:next w:val="1"/>
    <w:qFormat/>
    <w:uiPriority w:val="0"/>
    <w:pPr>
      <w:ind w:left="840" w:leftChars="400"/>
    </w:pPr>
  </w:style>
  <w:style w:type="paragraph" w:customStyle="1" w:styleId="20">
    <w:name w:val="标题 21"/>
    <w:basedOn w:val="18"/>
    <w:next w:val="18"/>
    <w:qFormat/>
    <w:uiPriority w:val="0"/>
    <w:pPr>
      <w:keepNext/>
      <w:keepLines/>
      <w:tabs>
        <w:tab w:val="left" w:pos="706"/>
      </w:tabs>
      <w:ind w:left="106" w:firstLine="454"/>
      <w:outlineLvl w:val="1"/>
    </w:pPr>
    <w:rPr>
      <w:rFonts w:ascii="Arial" w:hAnsi="Arial" w:eastAsia="??"/>
      <w:b/>
      <w:bCs/>
      <w:szCs w:val="32"/>
    </w:rPr>
  </w:style>
  <w:style w:type="paragraph" w:styleId="21">
    <w:name w:val="Balloon Text"/>
    <w:basedOn w:val="1"/>
    <w:semiHidden/>
    <w:qFormat/>
    <w:uiPriority w:val="0"/>
    <w:rPr>
      <w:sz w:val="18"/>
      <w:szCs w:val="18"/>
    </w:rPr>
  </w:style>
  <w:style w:type="paragraph" w:styleId="22">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23">
    <w:name w:val="toc 2"/>
    <w:next w:val="1"/>
    <w:qFormat/>
    <w:uiPriority w:val="0"/>
    <w:pPr>
      <w:widowControl w:val="0"/>
      <w:ind w:left="200" w:leftChars="200"/>
      <w:jc w:val="both"/>
    </w:pPr>
    <w:rPr>
      <w:rFonts w:ascii="Calibri" w:hAnsi="Calibri" w:eastAsia="宋体" w:cs="宋体"/>
      <w:kern w:val="2"/>
      <w:sz w:val="21"/>
      <w:szCs w:val="22"/>
      <w:lang w:val="en-US" w:eastAsia="zh-CN" w:bidi="ar-SA"/>
    </w:rPr>
  </w:style>
  <w:style w:type="paragraph" w:styleId="24">
    <w:name w:val="Normal (Web)"/>
    <w:basedOn w:val="1"/>
    <w:qFormat/>
    <w:uiPriority w:val="0"/>
    <w:pPr>
      <w:spacing w:beforeAutospacing="1" w:afterAutospacing="1"/>
      <w:jc w:val="left"/>
    </w:pPr>
    <w:rPr>
      <w:kern w:val="0"/>
      <w:sz w:val="24"/>
    </w:rPr>
  </w:style>
  <w:style w:type="character" w:customStyle="1" w:styleId="27">
    <w:name w:val="spanyj"/>
    <w:basedOn w:val="26"/>
    <w:qFormat/>
    <w:uiPriority w:val="0"/>
  </w:style>
  <w:style w:type="paragraph" w:customStyle="1" w:styleId="28">
    <w:name w:val="公文正文"/>
    <w:basedOn w:val="1"/>
    <w:qFormat/>
    <w:uiPriority w:val="0"/>
    <w:pPr>
      <w:spacing w:line="600" w:lineRule="exact"/>
      <w:ind w:firstLine="880" w:firstLineChars="200"/>
    </w:pPr>
  </w:style>
  <w:style w:type="paragraph" w:styleId="29">
    <w:name w:val="List Paragraph"/>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hint="eastAsia" w:ascii="宋体" w:hAnsi="宋体" w:eastAsia="宋体"/>
      <w:kern w:val="0"/>
      <w:sz w:val="22"/>
      <w:szCs w:val="22"/>
    </w:rPr>
  </w:style>
  <w:style w:type="table" w:customStyle="1" w:styleId="31">
    <w:name w:val="Table Normal"/>
    <w:basedOn w:val="25"/>
    <w:semiHidden/>
    <w:qFormat/>
    <w:uiPriority w:val="0"/>
    <w:pPr>
      <w:widowControl w:val="0"/>
      <w:autoSpaceDE w:val="0"/>
      <w:autoSpaceDN w:val="0"/>
    </w:pPr>
    <w:rPr>
      <w:sz w:val="22"/>
      <w:szCs w:val="22"/>
      <w:lang w:eastAsia="en-US"/>
    </w:rPr>
    <w:tblPr>
      <w:tblCellMar>
        <w:left w:w="0" w:type="dxa"/>
        <w:right w:w="0" w:type="dxa"/>
      </w:tblCellMar>
    </w:tblPr>
  </w:style>
  <w:style w:type="character" w:customStyle="1" w:styleId="32">
    <w:name w:val="font11"/>
    <w:basedOn w:val="26"/>
    <w:qFormat/>
    <w:uiPriority w:val="0"/>
    <w:rPr>
      <w:rFonts w:hint="eastAsia" w:ascii="仿宋" w:hAnsi="仿宋" w:eastAsia="仿宋" w:cs="仿宋"/>
      <w:color w:val="000000"/>
      <w:sz w:val="22"/>
      <w:szCs w:val="22"/>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null3"/>
    <w:qFormat/>
    <w:uiPriority w:val="0"/>
    <w:rPr>
      <w:rFonts w:hint="eastAsia" w:ascii="Calibri" w:hAnsi="Calibri" w:eastAsia="宋体" w:cs="Times New Roman"/>
      <w:lang w:val="en-US" w:eastAsia="zh-Hans" w:bidi="ar-SA"/>
    </w:rPr>
  </w:style>
  <w:style w:type="character" w:customStyle="1" w:styleId="35">
    <w:name w:val="页眉 字符"/>
    <w:basedOn w:val="26"/>
    <w:link w:val="22"/>
    <w:qFormat/>
    <w:uiPriority w:val="0"/>
    <w:rPr>
      <w:rFonts w:eastAsia="仿宋_GB2312"/>
      <w:kern w:val="2"/>
      <w:sz w:val="18"/>
      <w:szCs w:val="18"/>
    </w:rPr>
  </w:style>
  <w:style w:type="paragraph" w:customStyle="1" w:styleId="36">
    <w:name w:val="Table Text"/>
    <w:basedOn w:val="1"/>
    <w:semiHidden/>
    <w:qFormat/>
    <w:uiPriority w:val="0"/>
    <w:rPr>
      <w:rFonts w:ascii="宋体" w:hAnsi="宋体" w:eastAsia="宋体" w:cs="宋体"/>
      <w:sz w:val="24"/>
      <w:szCs w:val="24"/>
      <w:lang w:eastAsia="en-US"/>
    </w:rPr>
  </w:style>
  <w:style w:type="paragraph" w:customStyle="1" w:styleId="3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dgcc</Company>
  <Pages>13</Pages>
  <Words>2565</Words>
  <Characters>2764</Characters>
  <Lines>41</Lines>
  <Paragraphs>11</Paragraphs>
  <TotalTime>0</TotalTime>
  <ScaleCrop>false</ScaleCrop>
  <LinksUpToDate>false</LinksUpToDate>
  <CharactersWithSpaces>2769</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2026-02-06T05:45:00Z</dcterms:created>
  <dc:creator>yangl</dc:creator>
  <cp:lastModifiedBy>UOS</cp:lastModifiedBy>
  <cp:lastPrinted>2026-02-12T09:04:00Z</cp:lastPrinted>
  <dcterms:modified xsi:type="dcterms:W3CDTF">2026-03-06T09:53:21Z</dcterms:modified>
  <dc:title>东莞市人民政府办公室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12870634525CE820373089695898E87D_43</vt:lpwstr>
  </property>
  <property fmtid="{D5CDD505-2E9C-101B-9397-08002B2CF9AE}" pid="4" name="KSOTemplateDocerSaveRecord">
    <vt:lpwstr>eyJoZGlkIjoiYzE4YTJiYzcxNWZkZmExZTEwNTA5MDAzYTc5ZWYxZDMiLCJ1c2VySWQiOiIyMjQxMDk4NzUifQ==</vt:lpwstr>
  </property>
</Properties>
</file>