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snapToGrid w:val="0"/>
        <w:spacing w:line="360" w:lineRule="auto"/>
        <w:jc w:val="center"/>
        <w:rPr>
          <w:rFonts w:eastAsia="仿宋_GB2312"/>
          <w:b/>
          <w:bCs/>
          <w:sz w:val="28"/>
          <w:szCs w:val="28"/>
        </w:rPr>
      </w:pPr>
      <w:r>
        <w:rPr>
          <w:rFonts w:eastAsia="方正小标宋简体"/>
          <w:color w:val="000000"/>
          <w:sz w:val="44"/>
          <w:szCs w:val="44"/>
        </w:rPr>
        <w:t>评审标准</w:t>
      </w:r>
    </w:p>
    <w:p>
      <w:pPr>
        <w:widowControl/>
        <w:snapToGrid w:val="0"/>
        <w:spacing w:line="560" w:lineRule="exact"/>
        <w:ind w:firstLine="560" w:firstLineChars="200"/>
        <w:rPr>
          <w:rFonts w:eastAsia="仿宋_GB2312"/>
          <w:sz w:val="28"/>
          <w:szCs w:val="28"/>
        </w:rPr>
      </w:pPr>
      <w:r>
        <w:rPr>
          <w:rFonts w:eastAsia="仿宋_GB2312"/>
          <w:sz w:val="28"/>
          <w:szCs w:val="28"/>
        </w:rPr>
        <w:t>采购人成立评审小组，对供应商响应文件进行评审。得分为评审小组成员评分的算术平均分，分值保留小数点后两位。</w:t>
      </w:r>
    </w:p>
    <w:p>
      <w:pPr>
        <w:widowControl/>
        <w:numPr>
          <w:ilvl w:val="255"/>
          <w:numId w:val="0"/>
        </w:numPr>
        <w:spacing w:line="560" w:lineRule="exact"/>
        <w:ind w:firstLine="686" w:firstLineChars="245"/>
        <w:rPr>
          <w:rFonts w:eastAsia="黑体"/>
          <w:sz w:val="28"/>
          <w:szCs w:val="28"/>
        </w:rPr>
      </w:pPr>
      <w:r>
        <w:rPr>
          <w:rFonts w:eastAsia="黑体"/>
          <w:sz w:val="28"/>
          <w:szCs w:val="28"/>
        </w:rPr>
        <w:t>一、评审原则</w:t>
      </w:r>
    </w:p>
    <w:p>
      <w:pPr>
        <w:spacing w:line="560" w:lineRule="exact"/>
        <w:ind w:firstLine="686" w:firstLineChars="245"/>
        <w:rPr>
          <w:rFonts w:eastAsia="仿宋_GB2312"/>
          <w:sz w:val="28"/>
          <w:szCs w:val="28"/>
        </w:rPr>
      </w:pPr>
      <w:r>
        <w:rPr>
          <w:rFonts w:eastAsia="仿宋_GB2312"/>
          <w:sz w:val="28"/>
          <w:szCs w:val="28"/>
        </w:rPr>
        <w:t>本次采购采用百分制综合评分法，即在供应商最大限度地满足项目需求书实质性要求的基础上，按照评分标准的各项因素进行综合评审后，以评审总得分最高的供应商和次高的供应商作为第一和第二排序候选人的评分方法</w:t>
      </w:r>
      <w:r>
        <w:rPr>
          <w:rFonts w:hint="eastAsia" w:eastAsia="仿宋_GB2312"/>
          <w:sz w:val="28"/>
          <w:szCs w:val="28"/>
        </w:rPr>
        <w:t>（若评审总得分相同，以报价低者优先）</w:t>
      </w:r>
      <w:r>
        <w:rPr>
          <w:rFonts w:eastAsia="仿宋_GB2312"/>
          <w:sz w:val="28"/>
          <w:szCs w:val="28"/>
        </w:rPr>
        <w:t>。根据采购要求，</w:t>
      </w:r>
      <w:r>
        <w:rPr>
          <w:rFonts w:eastAsia="仿宋_GB2312"/>
          <w:b/>
          <w:bCs/>
          <w:sz w:val="28"/>
          <w:szCs w:val="28"/>
        </w:rPr>
        <w:t>总分设定为100分</w:t>
      </w:r>
      <w:r>
        <w:rPr>
          <w:rFonts w:hint="eastAsia" w:eastAsia="仿宋_GB2312"/>
          <w:b/>
          <w:bCs/>
          <w:sz w:val="28"/>
          <w:szCs w:val="28"/>
        </w:rPr>
        <w:t>：</w:t>
      </w:r>
      <w:r>
        <w:rPr>
          <w:rFonts w:eastAsia="仿宋_GB2312"/>
          <w:b/>
          <w:bCs/>
          <w:sz w:val="28"/>
          <w:szCs w:val="28"/>
        </w:rPr>
        <w:t>商务标</w:t>
      </w:r>
      <w:r>
        <w:rPr>
          <w:rFonts w:hint="eastAsia" w:eastAsia="仿宋_GB2312"/>
          <w:b/>
          <w:bCs/>
          <w:sz w:val="28"/>
          <w:szCs w:val="28"/>
          <w:lang w:val="en-US" w:eastAsia="zh-CN"/>
        </w:rPr>
        <w:t>60</w:t>
      </w:r>
      <w:r>
        <w:rPr>
          <w:rFonts w:eastAsia="仿宋_GB2312"/>
          <w:b/>
          <w:bCs/>
          <w:sz w:val="28"/>
          <w:szCs w:val="28"/>
        </w:rPr>
        <w:t>分（权值</w:t>
      </w:r>
      <w:r>
        <w:rPr>
          <w:rFonts w:hint="eastAsia" w:eastAsia="仿宋_GB2312"/>
          <w:b/>
          <w:bCs/>
          <w:sz w:val="28"/>
          <w:szCs w:val="28"/>
          <w:lang w:val="en-US" w:eastAsia="zh-CN"/>
        </w:rPr>
        <w:t>6</w:t>
      </w:r>
      <w:r>
        <w:rPr>
          <w:rFonts w:hint="eastAsia" w:eastAsia="仿宋_GB2312"/>
          <w:b/>
          <w:bCs/>
          <w:sz w:val="28"/>
          <w:szCs w:val="28"/>
        </w:rPr>
        <w:t>0</w:t>
      </w:r>
      <w:r>
        <w:rPr>
          <w:rFonts w:eastAsia="仿宋_GB2312"/>
          <w:b/>
          <w:bCs/>
          <w:sz w:val="28"/>
          <w:szCs w:val="28"/>
        </w:rPr>
        <w:t>%），技术标</w:t>
      </w:r>
      <w:r>
        <w:rPr>
          <w:rFonts w:hint="eastAsia" w:eastAsia="仿宋_GB2312"/>
          <w:b/>
          <w:bCs/>
          <w:sz w:val="28"/>
          <w:szCs w:val="28"/>
          <w:lang w:val="en-US" w:eastAsia="zh-CN"/>
        </w:rPr>
        <w:t>30</w:t>
      </w:r>
      <w:r>
        <w:rPr>
          <w:rFonts w:eastAsia="仿宋_GB2312"/>
          <w:b/>
          <w:bCs/>
          <w:sz w:val="28"/>
          <w:szCs w:val="28"/>
        </w:rPr>
        <w:t>分（权值</w:t>
      </w:r>
      <w:r>
        <w:rPr>
          <w:rFonts w:hint="eastAsia" w:eastAsia="仿宋_GB2312"/>
          <w:b/>
          <w:bCs/>
          <w:sz w:val="28"/>
          <w:szCs w:val="28"/>
          <w:lang w:val="en-US" w:eastAsia="zh-CN"/>
        </w:rPr>
        <w:t>3</w:t>
      </w:r>
      <w:r>
        <w:rPr>
          <w:rFonts w:hint="eastAsia" w:eastAsia="仿宋_GB2312"/>
          <w:b/>
          <w:bCs/>
          <w:sz w:val="28"/>
          <w:szCs w:val="28"/>
        </w:rPr>
        <w:t>0</w:t>
      </w:r>
      <w:r>
        <w:rPr>
          <w:rFonts w:eastAsia="仿宋_GB2312"/>
          <w:b/>
          <w:bCs/>
          <w:sz w:val="28"/>
          <w:szCs w:val="28"/>
        </w:rPr>
        <w:t>%），报价得分</w:t>
      </w:r>
      <w:r>
        <w:rPr>
          <w:rFonts w:hint="eastAsia" w:eastAsia="仿宋_GB2312"/>
          <w:b/>
          <w:bCs/>
          <w:sz w:val="28"/>
          <w:szCs w:val="28"/>
          <w:lang w:val="en-US" w:eastAsia="zh-CN"/>
        </w:rPr>
        <w:t>1</w:t>
      </w:r>
      <w:r>
        <w:rPr>
          <w:rFonts w:hint="eastAsia" w:eastAsia="仿宋_GB2312"/>
          <w:b/>
          <w:bCs/>
          <w:sz w:val="28"/>
          <w:szCs w:val="28"/>
        </w:rPr>
        <w:t>0</w:t>
      </w:r>
      <w:r>
        <w:rPr>
          <w:rFonts w:eastAsia="仿宋_GB2312"/>
          <w:b/>
          <w:bCs/>
          <w:sz w:val="28"/>
          <w:szCs w:val="28"/>
        </w:rPr>
        <w:t>分（权值</w:t>
      </w:r>
      <w:r>
        <w:rPr>
          <w:rFonts w:hint="eastAsia" w:eastAsia="仿宋_GB2312"/>
          <w:b/>
          <w:bCs/>
          <w:sz w:val="28"/>
          <w:szCs w:val="28"/>
          <w:lang w:val="en-US" w:eastAsia="zh-CN"/>
        </w:rPr>
        <w:t>1</w:t>
      </w:r>
      <w:r>
        <w:rPr>
          <w:rFonts w:hint="eastAsia" w:eastAsia="仿宋_GB2312"/>
          <w:b/>
          <w:bCs/>
          <w:sz w:val="28"/>
          <w:szCs w:val="28"/>
        </w:rPr>
        <w:t>0</w:t>
      </w:r>
      <w:r>
        <w:rPr>
          <w:rFonts w:eastAsia="仿宋_GB2312"/>
          <w:b/>
          <w:bCs/>
          <w:sz w:val="28"/>
          <w:szCs w:val="28"/>
        </w:rPr>
        <w:t>%）</w:t>
      </w:r>
      <w:r>
        <w:rPr>
          <w:rFonts w:eastAsia="仿宋_GB2312"/>
          <w:sz w:val="28"/>
          <w:szCs w:val="28"/>
        </w:rPr>
        <w:t>。</w:t>
      </w:r>
    </w:p>
    <w:p>
      <w:pPr>
        <w:spacing w:line="560" w:lineRule="exact"/>
        <w:ind w:firstLine="686" w:firstLineChars="245"/>
        <w:rPr>
          <w:rFonts w:eastAsia="黑体"/>
          <w:sz w:val="28"/>
          <w:szCs w:val="28"/>
        </w:rPr>
      </w:pPr>
      <w:r>
        <w:rPr>
          <w:rFonts w:eastAsia="黑体"/>
          <w:sz w:val="28"/>
          <w:szCs w:val="28"/>
        </w:rPr>
        <w:t>二、评分方式</w:t>
      </w:r>
    </w:p>
    <w:p>
      <w:pPr>
        <w:spacing w:line="560" w:lineRule="exact"/>
        <w:ind w:firstLine="686" w:firstLineChars="245"/>
        <w:rPr>
          <w:rFonts w:eastAsia="仿宋_GB2312"/>
          <w:sz w:val="28"/>
          <w:szCs w:val="28"/>
        </w:rPr>
      </w:pPr>
      <w:r>
        <w:rPr>
          <w:rFonts w:eastAsia="仿宋_GB2312"/>
          <w:sz w:val="28"/>
          <w:szCs w:val="28"/>
        </w:rPr>
        <w:t>根据评审原则，所有响应文件的评分按商务部分、技术部分和报价部分三个部分分别打分的方式进行。</w:t>
      </w:r>
    </w:p>
    <w:p>
      <w:pPr>
        <w:spacing w:line="560" w:lineRule="exact"/>
        <w:ind w:firstLine="686" w:firstLineChars="245"/>
        <w:rPr>
          <w:rFonts w:eastAsia="仿宋_GB2312"/>
          <w:sz w:val="28"/>
          <w:szCs w:val="28"/>
          <w:highlight w:val="none"/>
        </w:rPr>
      </w:pPr>
      <w:bookmarkStart w:id="0" w:name="_GoBack"/>
      <w:r>
        <w:rPr>
          <w:rFonts w:eastAsia="仿宋_GB2312"/>
          <w:sz w:val="28"/>
          <w:szCs w:val="28"/>
          <w:highlight w:val="none"/>
        </w:rPr>
        <w:t>评标总得分（100分）=商务部分（</w:t>
      </w:r>
      <w:r>
        <w:rPr>
          <w:rFonts w:hint="eastAsia" w:eastAsia="仿宋_GB2312"/>
          <w:sz w:val="28"/>
          <w:szCs w:val="28"/>
          <w:highlight w:val="none"/>
          <w:lang w:val="en-US" w:eastAsia="zh-CN"/>
        </w:rPr>
        <w:t>60</w:t>
      </w:r>
      <w:r>
        <w:rPr>
          <w:rFonts w:eastAsia="仿宋_GB2312"/>
          <w:sz w:val="28"/>
          <w:szCs w:val="28"/>
          <w:highlight w:val="none"/>
        </w:rPr>
        <w:t>分）+技术部分（</w:t>
      </w:r>
      <w:r>
        <w:rPr>
          <w:rFonts w:hint="eastAsia" w:eastAsia="仿宋_GB2312"/>
          <w:sz w:val="28"/>
          <w:szCs w:val="28"/>
          <w:highlight w:val="none"/>
        </w:rPr>
        <w:t>30</w:t>
      </w:r>
      <w:r>
        <w:rPr>
          <w:rFonts w:eastAsia="仿宋_GB2312"/>
          <w:sz w:val="28"/>
          <w:szCs w:val="28"/>
          <w:highlight w:val="none"/>
        </w:rPr>
        <w:t>分）+报价部分（</w:t>
      </w:r>
      <w:r>
        <w:rPr>
          <w:rFonts w:hint="eastAsia" w:eastAsia="仿宋_GB2312"/>
          <w:sz w:val="28"/>
          <w:szCs w:val="28"/>
          <w:highlight w:val="none"/>
        </w:rPr>
        <w:t>1</w:t>
      </w:r>
      <w:r>
        <w:rPr>
          <w:rFonts w:hint="eastAsia" w:eastAsia="仿宋_GB2312"/>
          <w:sz w:val="28"/>
          <w:szCs w:val="28"/>
          <w:highlight w:val="none"/>
          <w:lang w:val="en-US" w:eastAsia="zh-CN"/>
        </w:rPr>
        <w:t>0</w:t>
      </w:r>
      <w:r>
        <w:rPr>
          <w:rFonts w:eastAsia="仿宋_GB2312"/>
          <w:sz w:val="28"/>
          <w:szCs w:val="28"/>
          <w:highlight w:val="none"/>
        </w:rPr>
        <w:t>分）。</w:t>
      </w:r>
    </w:p>
    <w:tbl>
      <w:tblPr>
        <w:tblStyle w:val="20"/>
        <w:tblW w:w="4997" w:type="pct"/>
        <w:tblInd w:w="0" w:type="dxa"/>
        <w:tblLayout w:type="fixed"/>
        <w:tblCellMar>
          <w:top w:w="0" w:type="dxa"/>
          <w:left w:w="108" w:type="dxa"/>
          <w:bottom w:w="0" w:type="dxa"/>
          <w:right w:w="108" w:type="dxa"/>
        </w:tblCellMar>
      </w:tblPr>
      <w:tblGrid>
        <w:gridCol w:w="812"/>
        <w:gridCol w:w="1329"/>
        <w:gridCol w:w="6156"/>
        <w:gridCol w:w="782"/>
      </w:tblGrid>
      <w:tr>
        <w:tblPrEx>
          <w:tblCellMar>
            <w:top w:w="0" w:type="dxa"/>
            <w:left w:w="108" w:type="dxa"/>
            <w:bottom w:w="0" w:type="dxa"/>
            <w:right w:w="108" w:type="dxa"/>
          </w:tblCellMar>
        </w:tblPrEx>
        <w:trPr>
          <w:trHeight w:val="6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评审部分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评审内容</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评分细则</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分值</w:t>
            </w:r>
          </w:p>
        </w:tc>
      </w:tr>
      <w:tr>
        <w:tblPrEx>
          <w:tblCellMar>
            <w:top w:w="0" w:type="dxa"/>
            <w:left w:w="108" w:type="dxa"/>
            <w:bottom w:w="0" w:type="dxa"/>
            <w:right w:w="108" w:type="dxa"/>
          </w:tblCellMar>
        </w:tblPrEx>
        <w:trPr>
          <w:trHeight w:val="142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商务部分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项目负责人员</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项目负责人具备地震相关专业高级工程师或以上职称，得</w:t>
            </w:r>
            <w:r>
              <w:rPr>
                <w:rFonts w:hint="eastAsia" w:ascii="宋体" w:hAnsi="宋体" w:cs="宋体"/>
                <w:color w:val="000000"/>
                <w:kern w:val="0"/>
                <w:sz w:val="24"/>
                <w:highlight w:val="none"/>
                <w:lang w:val="en-US" w:eastAsia="zh-CN" w:bidi="ar"/>
              </w:rPr>
              <w:t>9</w:t>
            </w:r>
            <w:r>
              <w:rPr>
                <w:rFonts w:hint="eastAsia" w:ascii="宋体" w:hAnsi="宋体" w:cs="宋体"/>
                <w:color w:val="000000"/>
                <w:kern w:val="0"/>
                <w:sz w:val="24"/>
                <w:highlight w:val="none"/>
                <w:lang w:bidi="ar"/>
              </w:rPr>
              <w:t>分，本项最高得</w:t>
            </w:r>
            <w:r>
              <w:rPr>
                <w:rFonts w:hint="eastAsia" w:ascii="宋体" w:hAnsi="宋体" w:cs="宋体"/>
                <w:color w:val="000000"/>
                <w:kern w:val="0"/>
                <w:sz w:val="24"/>
                <w:highlight w:val="none"/>
                <w:lang w:val="en-US" w:eastAsia="zh-CN" w:bidi="ar"/>
              </w:rPr>
              <w:t>9</w:t>
            </w:r>
            <w:r>
              <w:rPr>
                <w:rFonts w:hint="eastAsia" w:ascii="宋体" w:hAnsi="宋体" w:cs="宋体"/>
                <w:color w:val="000000"/>
                <w:kern w:val="0"/>
                <w:sz w:val="24"/>
                <w:highlight w:val="none"/>
                <w:lang w:bidi="ar"/>
              </w:rPr>
              <w:t>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注：提供相关证书的扫描件，并加盖供应商公章，不提供不得分。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bidi="ar"/>
              </w:rPr>
              <w:t>9</w:t>
            </w:r>
          </w:p>
        </w:tc>
      </w:tr>
      <w:tr>
        <w:tblPrEx>
          <w:tblCellMar>
            <w:top w:w="0" w:type="dxa"/>
            <w:left w:w="108" w:type="dxa"/>
            <w:bottom w:w="0" w:type="dxa"/>
            <w:right w:w="108" w:type="dxa"/>
          </w:tblCellMar>
        </w:tblPrEx>
        <w:trPr>
          <w:trHeight w:val="186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专业技术能力1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能熟练完成台站现有专业设备的使用、安装、调试、故障排查及修复的能力，提供</w:t>
            </w:r>
            <w:r>
              <w:rPr>
                <w:rFonts w:hint="eastAsia" w:ascii="宋体" w:hAnsi="宋体" w:cs="宋体"/>
                <w:color w:val="000000"/>
                <w:kern w:val="0"/>
                <w:sz w:val="24"/>
                <w:highlight w:val="none"/>
                <w:lang w:val="en-US" w:eastAsia="zh-CN" w:bidi="ar"/>
              </w:rPr>
              <w:t>地震监测设备</w:t>
            </w:r>
            <w:r>
              <w:rPr>
                <w:rFonts w:hint="eastAsia" w:ascii="宋体" w:hAnsi="宋体" w:cs="宋体"/>
                <w:color w:val="000000"/>
                <w:kern w:val="0"/>
                <w:sz w:val="24"/>
                <w:highlight w:val="none"/>
                <w:lang w:bidi="ar"/>
              </w:rPr>
              <w:t>任1类设备（</w:t>
            </w:r>
            <w:r>
              <w:rPr>
                <w:rFonts w:hint="eastAsia" w:ascii="宋体" w:hAnsi="宋体" w:cs="宋体"/>
                <w:color w:val="000000"/>
                <w:kern w:val="0"/>
                <w:sz w:val="24"/>
                <w:highlight w:val="none"/>
                <w:lang w:val="en-US" w:eastAsia="zh-CN" w:bidi="ar"/>
              </w:rPr>
              <w:t>含测震计、强震计、烈度计、数据采集器</w:t>
            </w:r>
            <w:r>
              <w:rPr>
                <w:rFonts w:hint="eastAsia" w:ascii="宋体" w:hAnsi="宋体" w:cs="宋体"/>
                <w:color w:val="000000"/>
                <w:kern w:val="0"/>
                <w:sz w:val="24"/>
                <w:highlight w:val="none"/>
                <w:lang w:bidi="ar"/>
              </w:rPr>
              <w:t>）的厂商出具的使用培训证明或培训证书。每提供1份得</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分，同一</w:t>
            </w:r>
            <w:r>
              <w:rPr>
                <w:rFonts w:hint="eastAsia" w:ascii="宋体" w:hAnsi="宋体" w:cs="宋体"/>
                <w:color w:val="000000"/>
                <w:kern w:val="0"/>
                <w:sz w:val="24"/>
                <w:highlight w:val="none"/>
                <w:lang w:val="en-US" w:eastAsia="zh-CN" w:bidi="ar"/>
              </w:rPr>
              <w:t>类型设备</w:t>
            </w:r>
            <w:r>
              <w:rPr>
                <w:rFonts w:hint="eastAsia" w:ascii="宋体" w:hAnsi="宋体" w:cs="宋体"/>
                <w:color w:val="000000"/>
                <w:kern w:val="0"/>
                <w:sz w:val="24"/>
                <w:highlight w:val="none"/>
                <w:lang w:bidi="ar"/>
              </w:rPr>
              <w:t>材料视为同一份，不重复得分，最高得16分。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注：提供相关证明材料的扫描件，并加盖供应商公章，不提供不得分。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r>
      <w:tr>
        <w:tblPrEx>
          <w:tblCellMar>
            <w:top w:w="0" w:type="dxa"/>
            <w:left w:w="108" w:type="dxa"/>
            <w:bottom w:w="0" w:type="dxa"/>
            <w:right w:w="108" w:type="dxa"/>
          </w:tblCellMar>
        </w:tblPrEx>
        <w:trPr>
          <w:trHeight w:val="144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bidi="ar"/>
              </w:rPr>
              <w:t>专业技术能力</w:t>
            </w:r>
            <w:r>
              <w:rPr>
                <w:rFonts w:hint="eastAsia" w:ascii="宋体" w:hAnsi="宋体" w:cs="宋体"/>
                <w:color w:val="000000"/>
                <w:kern w:val="0"/>
                <w:sz w:val="24"/>
                <w:highlight w:val="none"/>
                <w:lang w:val="en-US" w:eastAsia="zh-CN" w:bidi="ar"/>
              </w:rPr>
              <w:t>2</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1.具备利用地震台网数据处理软件系统完成台站数据互联互通及运维监控管理的能力，提供由省级及以上地震主管部门出具给</w:t>
            </w:r>
            <w:r>
              <w:rPr>
                <w:rFonts w:hint="eastAsia" w:ascii="宋体" w:hAnsi="宋体" w:cs="宋体"/>
                <w:color w:val="000000"/>
                <w:kern w:val="0"/>
                <w:sz w:val="24"/>
                <w:highlight w:val="none"/>
                <w:lang w:val="en-US" w:eastAsia="zh-CN" w:bidi="ar"/>
              </w:rPr>
              <w:t>供应商</w:t>
            </w:r>
            <w:r>
              <w:rPr>
                <w:rFonts w:hint="eastAsia" w:ascii="宋体" w:hAnsi="宋体" w:cs="宋体"/>
                <w:color w:val="000000"/>
                <w:kern w:val="0"/>
                <w:sz w:val="24"/>
                <w:highlight w:val="none"/>
                <w:lang w:bidi="ar"/>
              </w:rPr>
              <w:t>的关于地震台网数据处理软件系统的用户评价报告。每提供1份得</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分，同一单位的用户报告视为同一份，不重复得分，最高得</w:t>
            </w:r>
            <w:r>
              <w:rPr>
                <w:rFonts w:hint="eastAsia" w:ascii="宋体" w:hAnsi="宋体" w:cs="宋体"/>
                <w:color w:val="000000"/>
                <w:kern w:val="0"/>
                <w:sz w:val="24"/>
                <w:highlight w:val="none"/>
                <w:lang w:val="en-US" w:eastAsia="zh-CN" w:bidi="ar"/>
              </w:rPr>
              <w:t>8</w:t>
            </w:r>
            <w:r>
              <w:rPr>
                <w:rFonts w:hint="eastAsia" w:ascii="宋体" w:hAnsi="宋体" w:cs="宋体"/>
                <w:color w:val="000000"/>
                <w:kern w:val="0"/>
                <w:sz w:val="24"/>
                <w:highlight w:val="none"/>
                <w:lang w:bidi="ar"/>
              </w:rPr>
              <w:t>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bidi="ar"/>
              </w:rPr>
              <w:t>20</w:t>
            </w:r>
          </w:p>
        </w:tc>
      </w:tr>
      <w:tr>
        <w:tblPrEx>
          <w:tblCellMar>
            <w:top w:w="0" w:type="dxa"/>
            <w:left w:w="108" w:type="dxa"/>
            <w:bottom w:w="0" w:type="dxa"/>
            <w:right w:w="108" w:type="dxa"/>
          </w:tblCellMar>
        </w:tblPrEx>
        <w:trPr>
          <w:trHeight w:val="116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r>
              <w:rPr>
                <w:rFonts w:hint="eastAsia" w:ascii="宋体" w:hAnsi="宋体" w:cs="宋体"/>
                <w:color w:val="000000"/>
                <w:kern w:val="0"/>
                <w:sz w:val="24"/>
                <w:highlight w:val="none"/>
                <w:lang w:eastAsia="zh-CN" w:bidi="ar"/>
              </w:rPr>
              <w:t>供应商需确保本项目生产的地震监测数据能接入广东省地震台网，实现数据共享及互联互通，并提供相关证明材料，得9分，此项最高得9分</w:t>
            </w:r>
            <w:r>
              <w:rPr>
                <w:rFonts w:hint="eastAsia" w:ascii="宋体" w:hAnsi="宋体" w:cs="宋体"/>
                <w:color w:val="000000"/>
                <w:kern w:val="0"/>
                <w:sz w:val="24"/>
                <w:highlight w:val="none"/>
                <w:lang w:bidi="ar"/>
              </w:rPr>
              <w:t>。</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15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val="en-US" w:eastAsia="zh-CN" w:bidi="ar"/>
              </w:rPr>
              <w:t>取得</w:t>
            </w:r>
            <w:r>
              <w:rPr>
                <w:rFonts w:hint="eastAsia" w:ascii="宋体" w:hAnsi="宋体" w:cs="宋体"/>
                <w:color w:val="000000"/>
                <w:kern w:val="0"/>
                <w:sz w:val="24"/>
                <w:highlight w:val="none"/>
                <w:lang w:bidi="ar"/>
              </w:rPr>
              <w:t>地震台网数据处理软件系统</w:t>
            </w:r>
            <w:r>
              <w:rPr>
                <w:rFonts w:hint="eastAsia" w:ascii="宋体" w:hAnsi="宋体" w:cs="宋体"/>
                <w:color w:val="000000"/>
                <w:kern w:val="0"/>
                <w:sz w:val="24"/>
                <w:highlight w:val="none"/>
                <w:lang w:val="en-US" w:eastAsia="zh-CN" w:bidi="ar"/>
              </w:rPr>
              <w:t>合法使用权的</w:t>
            </w:r>
            <w:r>
              <w:rPr>
                <w:rFonts w:hint="eastAsia" w:ascii="宋体" w:hAnsi="宋体" w:cs="宋体"/>
                <w:color w:val="000000"/>
                <w:kern w:val="0"/>
                <w:sz w:val="24"/>
                <w:highlight w:val="none"/>
                <w:lang w:bidi="ar"/>
              </w:rPr>
              <w:t>，并提供</w:t>
            </w:r>
            <w:r>
              <w:rPr>
                <w:rFonts w:hint="eastAsia" w:ascii="宋体" w:hAnsi="宋体" w:cs="宋体"/>
                <w:color w:val="000000"/>
                <w:kern w:val="0"/>
                <w:sz w:val="24"/>
                <w:highlight w:val="none"/>
                <w:lang w:val="en-US" w:eastAsia="zh-CN" w:bidi="ar"/>
              </w:rPr>
              <w:t>相关证明材料</w:t>
            </w:r>
            <w:r>
              <w:rPr>
                <w:rFonts w:hint="eastAsia" w:ascii="宋体" w:hAnsi="宋体" w:cs="宋体"/>
                <w:color w:val="000000"/>
                <w:kern w:val="0"/>
                <w:sz w:val="24"/>
                <w:highlight w:val="none"/>
                <w:lang w:bidi="ar"/>
              </w:rPr>
              <w:t>，得3分。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注：提供上述对应评分标准的用户评价报告、鉴定证明文件、软件</w:t>
            </w:r>
            <w:r>
              <w:rPr>
                <w:rFonts w:hint="eastAsia" w:ascii="宋体" w:hAnsi="宋体" w:cs="宋体"/>
                <w:color w:val="000000"/>
                <w:kern w:val="0"/>
                <w:sz w:val="24"/>
                <w:highlight w:val="none"/>
                <w:lang w:val="en-US" w:eastAsia="zh-CN" w:bidi="ar"/>
              </w:rPr>
              <w:t>合法使用</w:t>
            </w:r>
            <w:r>
              <w:rPr>
                <w:rFonts w:hint="eastAsia" w:ascii="宋体" w:hAnsi="宋体" w:cs="宋体"/>
                <w:color w:val="000000"/>
                <w:kern w:val="0"/>
                <w:sz w:val="24"/>
                <w:highlight w:val="none"/>
                <w:lang w:bidi="ar"/>
              </w:rPr>
              <w:t>权</w:t>
            </w:r>
            <w:r>
              <w:rPr>
                <w:rFonts w:hint="eastAsia" w:ascii="宋体" w:hAnsi="宋体" w:cs="宋体"/>
                <w:color w:val="000000"/>
                <w:kern w:val="0"/>
                <w:sz w:val="24"/>
                <w:highlight w:val="none"/>
                <w:lang w:val="en-US" w:eastAsia="zh-CN" w:bidi="ar"/>
              </w:rPr>
              <w:t>证明材料</w:t>
            </w:r>
            <w:r>
              <w:rPr>
                <w:rFonts w:hint="eastAsia" w:ascii="宋体" w:hAnsi="宋体" w:cs="宋体"/>
                <w:color w:val="000000"/>
                <w:kern w:val="0"/>
                <w:sz w:val="24"/>
                <w:highlight w:val="none"/>
                <w:lang w:bidi="ar"/>
              </w:rPr>
              <w:t>的扫描件，并加盖供应商公章作为证明材料，不提供不得分。</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54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同类业绩</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1.具备地震台站运维服务相关项目（单份合同内容应包含3种或以上地震台站类型的地震专业设备安装</w:t>
            </w:r>
            <w:r>
              <w:rPr>
                <w:rFonts w:hint="eastAsia" w:ascii="宋体" w:hAnsi="宋体" w:cs="宋体"/>
                <w:color w:val="000000"/>
                <w:kern w:val="0"/>
                <w:sz w:val="24"/>
                <w:highlight w:val="none"/>
                <w:lang w:val="en-US" w:eastAsia="zh-CN" w:bidi="ar"/>
              </w:rPr>
              <w:t>包括测震、强震及烈度设备</w:t>
            </w:r>
            <w:r>
              <w:rPr>
                <w:rFonts w:hint="eastAsia" w:ascii="宋体" w:hAnsi="宋体" w:cs="宋体"/>
                <w:color w:val="000000"/>
                <w:kern w:val="0"/>
                <w:sz w:val="24"/>
                <w:highlight w:val="none"/>
                <w:lang w:bidi="ar"/>
              </w:rPr>
              <w:t>和台网中心软件接入）的业绩经验，提供自2020年1月1日以来（以合同签订日期为准），以</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名义独立完成的业绩证明。每提供1份，得</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分，本项最高得</w:t>
            </w:r>
            <w:r>
              <w:rPr>
                <w:rFonts w:hint="eastAsia" w:ascii="宋体" w:hAnsi="宋体" w:cs="宋体"/>
                <w:color w:val="000000"/>
                <w:kern w:val="0"/>
                <w:sz w:val="24"/>
                <w:highlight w:val="none"/>
                <w:lang w:val="en-US" w:eastAsia="zh-CN" w:bidi="ar"/>
              </w:rPr>
              <w:t>10</w:t>
            </w:r>
            <w:r>
              <w:rPr>
                <w:rFonts w:hint="eastAsia" w:ascii="宋体" w:hAnsi="宋体" w:cs="宋体"/>
                <w:color w:val="000000"/>
                <w:kern w:val="0"/>
                <w:sz w:val="24"/>
                <w:highlight w:val="none"/>
                <w:lang w:bidi="ar"/>
              </w:rPr>
              <w:t>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2.具备地震台网监测系统运维服务相关项目的业绩经验，提供自2020年1月1日以来（以合同签订日期为准），以</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名义独立完成的业绩证明。得5分，本项最高得5分。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注：每份业绩证明材料均须提供中标通知书（或成交通知书）</w:t>
            </w:r>
            <w:r>
              <w:rPr>
                <w:rFonts w:hint="eastAsia" w:ascii="宋体" w:hAnsi="宋体" w:cs="宋体"/>
                <w:color w:val="000000"/>
                <w:kern w:val="0"/>
                <w:sz w:val="24"/>
                <w:highlight w:val="none"/>
                <w:lang w:val="en-US" w:eastAsia="zh-CN" w:bidi="ar"/>
              </w:rPr>
              <w:t>或</w:t>
            </w:r>
            <w:r>
              <w:rPr>
                <w:rFonts w:hint="eastAsia" w:ascii="宋体" w:hAnsi="宋体" w:cs="宋体"/>
                <w:color w:val="000000"/>
                <w:kern w:val="0"/>
                <w:sz w:val="24"/>
                <w:highlight w:val="none"/>
                <w:lang w:bidi="ar"/>
              </w:rPr>
              <w:t>合同扫描件，并加盖供应商公章，未提供材料或无法辨别的材料均不得分。同一份业绩合同如同时包含有上述评分标准中第1点和第2点的内容，不重复计分。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5</w:t>
            </w:r>
          </w:p>
        </w:tc>
      </w:tr>
      <w:tr>
        <w:tblPrEx>
          <w:tblCellMar>
            <w:top w:w="0" w:type="dxa"/>
            <w:left w:w="108" w:type="dxa"/>
            <w:bottom w:w="0" w:type="dxa"/>
            <w:right w:w="108" w:type="dxa"/>
          </w:tblCellMar>
        </w:tblPrEx>
        <w:trPr>
          <w:trHeight w:val="3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41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bidi="ar"/>
              </w:rPr>
              <w:t>60</w:t>
            </w:r>
          </w:p>
        </w:tc>
      </w:tr>
      <w:tr>
        <w:tblPrEx>
          <w:tblCellMar>
            <w:top w:w="0" w:type="dxa"/>
            <w:left w:w="108" w:type="dxa"/>
            <w:bottom w:w="0" w:type="dxa"/>
            <w:right w:w="108" w:type="dxa"/>
          </w:tblCellMar>
        </w:tblPrEx>
        <w:trPr>
          <w:trHeight w:val="63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kern w:val="0"/>
                <w:sz w:val="24"/>
                <w:highlight w:val="none"/>
                <w:lang w:bidi="ar"/>
              </w:rPr>
            </w:pPr>
          </w:p>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技术部分</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项目的理解程度</w:t>
            </w:r>
          </w:p>
        </w:tc>
        <w:tc>
          <w:tcPr>
            <w:tcW w:w="3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根据</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val="en-US" w:eastAsia="zh-CN" w:bidi="ar"/>
              </w:rPr>
              <w:t>提交的相关方案报告</w:t>
            </w:r>
            <w:r>
              <w:rPr>
                <w:rFonts w:hint="eastAsia" w:ascii="宋体" w:hAnsi="宋体" w:cs="宋体"/>
                <w:color w:val="000000"/>
                <w:kern w:val="0"/>
                <w:sz w:val="24"/>
                <w:highlight w:val="none"/>
                <w:lang w:bidi="ar"/>
              </w:rPr>
              <w:t>对本项目的工作内容及任务、重点难点等的理解程度进行评审：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对本项目的工作内容及任务理解、分析透彻，充分了解需运维的所有地震台站及地震监测系统现状并进行针对性的重点难点分析，得12分；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对本项目的工作内容及任务有一定的理解、分析，对需运维的所有地震台站及地震监测系统现状和重点难点有一定的了解，得6分；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对本项目的工作内容及任务理解、分析不到位，不了解需运维的所有地震台站及地震监测系统现状和重点难点等，</w:t>
            </w:r>
            <w:r>
              <w:rPr>
                <w:rFonts w:hint="eastAsia" w:ascii="宋体" w:hAnsi="宋体" w:cs="宋体"/>
                <w:color w:val="000000"/>
                <w:kern w:val="0"/>
                <w:sz w:val="24"/>
                <w:highlight w:val="none"/>
                <w:lang w:val="en-US" w:eastAsia="zh-CN" w:bidi="ar"/>
              </w:rPr>
              <w:t>不得分。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16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63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组织机构、专业分工、进度计划及实施方案</w:t>
            </w:r>
          </w:p>
        </w:tc>
        <w:tc>
          <w:tcPr>
            <w:tcW w:w="3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根据</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提供的组织机构、专业分工、进度计划及实施方案（包括但不限于组织机构设置、专业分工安排等）进行评审：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为项目组建的团队的组织机构完善，专业分工明确合理，全方位有效应对台站及监测系统运维中可能遇到的各种问题，实施方案及计划全面完整，施工线路规划充分考虑各站点的地理位置及交通条件，具有针对性及可行性，得7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2.为项目组建的团队的组织机构具有一定的合理性，专业分工合理，可应对台站及监测系统运维中可能遇到的问题，得3分；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3.为项目组建的团队的组织机构一般，专业分工不够明确，不能应对台站及监测系统运维中可能遇到的问题，提供的实施方案及计划不够完整，施工线路规划不够合理，针对性差，</w:t>
            </w:r>
            <w:r>
              <w:rPr>
                <w:rFonts w:hint="eastAsia" w:ascii="宋体" w:hAnsi="宋体" w:cs="宋体"/>
                <w:color w:val="000000"/>
                <w:kern w:val="0"/>
                <w:sz w:val="24"/>
                <w:highlight w:val="none"/>
                <w:lang w:val="en-US" w:eastAsia="zh-CN" w:bidi="ar"/>
              </w:rPr>
              <w:t>不得分</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br w:type="textWrapping"/>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232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运维服务方案</w:t>
            </w:r>
          </w:p>
        </w:tc>
        <w:tc>
          <w:tcPr>
            <w:tcW w:w="3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根据</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val="en-US" w:eastAsia="zh-CN" w:bidi="ar"/>
              </w:rPr>
              <w:t>提交的相关方案报告对</w:t>
            </w:r>
            <w:r>
              <w:rPr>
                <w:rFonts w:hint="eastAsia" w:ascii="宋体" w:hAnsi="宋体" w:cs="宋体"/>
                <w:color w:val="000000"/>
                <w:kern w:val="0"/>
                <w:sz w:val="24"/>
                <w:highlight w:val="none"/>
                <w:lang w:bidi="ar"/>
              </w:rPr>
              <w:t>运维服务人员配备情况、运维服务响应情况等）进行评审：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1.服务方案完整，考虑全面，不漏项，充分考虑用户需求，针对性及可行性很高，运维服务能力卓越，运维服务人员配备合理，完美地响应服务需求，可以很好地履行服务质量承诺，得6分；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2.服务方案比较完整，方案考虑较为全面，基本不漏项，具有一定的针对性及可行性，运维服务方案较合理、较切实可行，运维服务人员配备较为合理，有一定的服务响应保障，可以满足响应服务需求，得3分；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3.服务方案不够完整，不够周全，针对性不强，可行性一般，运维服务能力薄弱，运维服务人员配备与本项目关联性不强，人员配备基欠缺，响应服务需一般，</w:t>
            </w:r>
            <w:r>
              <w:rPr>
                <w:rFonts w:hint="eastAsia" w:ascii="宋体" w:hAnsi="宋体" w:cs="宋体"/>
                <w:color w:val="000000"/>
                <w:kern w:val="0"/>
                <w:sz w:val="24"/>
                <w:highlight w:val="none"/>
                <w:lang w:val="en-US" w:eastAsia="zh-CN" w:bidi="ar"/>
              </w:rPr>
              <w:t>不得分。</w:t>
            </w:r>
            <w:r>
              <w:rPr>
                <w:rFonts w:hint="eastAsia" w:ascii="宋体" w:hAnsi="宋体" w:cs="宋体"/>
                <w:color w:val="000000"/>
                <w:kern w:val="0"/>
                <w:sz w:val="24"/>
                <w:highlight w:val="none"/>
                <w:lang w:bidi="ar"/>
              </w:rPr>
              <w:br w:type="textWrapping"/>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256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突发事件处理措施和应急预案</w:t>
            </w:r>
          </w:p>
        </w:tc>
        <w:tc>
          <w:tcPr>
            <w:tcW w:w="3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根据</w:t>
            </w:r>
            <w:r>
              <w:rPr>
                <w:rFonts w:hint="eastAsia" w:ascii="宋体" w:hAnsi="宋体" w:cs="宋体"/>
                <w:color w:val="000000"/>
                <w:kern w:val="0"/>
                <w:sz w:val="24"/>
                <w:highlight w:val="none"/>
                <w:lang w:eastAsia="zh-CN" w:bidi="ar"/>
              </w:rPr>
              <w:t>供应商</w:t>
            </w:r>
            <w:r>
              <w:rPr>
                <w:rFonts w:hint="eastAsia" w:ascii="宋体" w:hAnsi="宋体" w:cs="宋体"/>
                <w:color w:val="000000"/>
                <w:kern w:val="0"/>
                <w:sz w:val="24"/>
                <w:highlight w:val="none"/>
                <w:lang w:bidi="ar"/>
              </w:rPr>
              <w:t>提供的突发事件（包括但不限于设备突发故障、不可抗力引起的设备损坏或故障等）处理措施和应急预案进行评审：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1.突发事件响应的处理措施和应急预案详细、合理，得</w:t>
            </w:r>
            <w:r>
              <w:rPr>
                <w:rFonts w:hint="eastAsia" w:ascii="宋体" w:hAnsi="宋体" w:cs="宋体"/>
                <w:color w:val="000000"/>
                <w:kern w:val="0"/>
                <w:sz w:val="24"/>
                <w:highlight w:val="none"/>
                <w:lang w:val="en-US" w:eastAsia="zh-CN" w:bidi="ar"/>
              </w:rPr>
              <w:t>5</w:t>
            </w:r>
            <w:r>
              <w:rPr>
                <w:rFonts w:hint="eastAsia" w:ascii="宋体" w:hAnsi="宋体" w:cs="宋体"/>
                <w:color w:val="000000"/>
                <w:kern w:val="0"/>
                <w:sz w:val="24"/>
                <w:highlight w:val="none"/>
                <w:lang w:bidi="ar"/>
              </w:rPr>
              <w:t>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2.突发事件响应的处理措施和应急预案较为详细，具有较强的可实施性，得3分；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3.突发事件响应的处理措施和应急预案不够完善，</w:t>
            </w:r>
            <w:r>
              <w:rPr>
                <w:rFonts w:hint="eastAsia" w:ascii="宋体" w:hAnsi="宋体" w:cs="宋体"/>
                <w:color w:val="000000"/>
                <w:kern w:val="0"/>
                <w:sz w:val="24"/>
                <w:highlight w:val="none"/>
                <w:lang w:val="en-US" w:eastAsia="zh-CN" w:bidi="ar"/>
              </w:rPr>
              <w:t>不得分</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br w:type="textWrapping"/>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18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3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r>
      <w:tr>
        <w:tblPrEx>
          <w:tblCellMar>
            <w:top w:w="0" w:type="dxa"/>
            <w:left w:w="108" w:type="dxa"/>
            <w:bottom w:w="0" w:type="dxa"/>
            <w:right w:w="108" w:type="dxa"/>
          </w:tblCellMar>
        </w:tblPrEx>
        <w:trPr>
          <w:trHeight w:val="3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b/>
                <w:bCs/>
                <w:color w:val="000000"/>
                <w:sz w:val="24"/>
                <w:highlight w:val="none"/>
              </w:rPr>
            </w:pPr>
          </w:p>
        </w:tc>
        <w:tc>
          <w:tcPr>
            <w:tcW w:w="41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r>
      <w:tr>
        <w:tblPrEx>
          <w:tblCellMar>
            <w:top w:w="0" w:type="dxa"/>
            <w:left w:w="108" w:type="dxa"/>
            <w:bottom w:w="0" w:type="dxa"/>
            <w:right w:w="108" w:type="dxa"/>
          </w:tblCellMar>
        </w:tblPrEx>
        <w:trPr>
          <w:trHeight w:val="60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报价部分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合同价格</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报价得分＝（</w:t>
            </w:r>
            <w:r>
              <w:rPr>
                <w:rFonts w:hint="eastAsia" w:ascii="宋体" w:hAnsi="宋体" w:cs="宋体"/>
                <w:color w:val="000000"/>
                <w:kern w:val="0"/>
                <w:sz w:val="24"/>
                <w:highlight w:val="none"/>
                <w:lang w:val="en-US" w:eastAsia="zh-CN" w:bidi="ar"/>
              </w:rPr>
              <w:t>1-</w:t>
            </w:r>
            <w:r>
              <w:rPr>
                <w:rFonts w:hint="eastAsia" w:ascii="宋体" w:hAnsi="宋体" w:eastAsia="宋体" w:cs="宋体"/>
                <w:color w:val="000000"/>
                <w:kern w:val="0"/>
                <w:sz w:val="24"/>
                <w:highlight w:val="none"/>
                <w:lang w:val="en-US" w:eastAsia="zh-CN" w:bidi="ar"/>
              </w:rPr>
              <w:t>|</w:t>
            </w:r>
            <w:r>
              <w:rPr>
                <w:rFonts w:hint="eastAsia" w:ascii="宋体" w:hAnsi="宋体" w:cs="宋体"/>
                <w:color w:val="000000"/>
                <w:kern w:val="0"/>
                <w:sz w:val="24"/>
                <w:highlight w:val="none"/>
                <w:lang w:val="en-US" w:eastAsia="zh-CN" w:bidi="ar"/>
              </w:rPr>
              <w:t>平均报价-此次报价</w:t>
            </w:r>
            <w:r>
              <w:rPr>
                <w:rFonts w:hint="eastAsia" w:ascii="宋体" w:hAnsi="宋体" w:eastAsia="宋体" w:cs="宋体"/>
                <w:color w:val="000000"/>
                <w:kern w:val="0"/>
                <w:sz w:val="24"/>
                <w:highlight w:val="none"/>
                <w:lang w:val="en-US"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平均</w:t>
            </w:r>
            <w:r>
              <w:rPr>
                <w:rFonts w:hint="eastAsia" w:ascii="宋体" w:hAnsi="宋体" w:cs="宋体"/>
                <w:color w:val="000000"/>
                <w:kern w:val="0"/>
                <w:sz w:val="24"/>
                <w:highlight w:val="none"/>
                <w:lang w:bidi="ar"/>
              </w:rPr>
              <w:t>报价）×价格分值</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0</w:t>
            </w:r>
          </w:p>
        </w:tc>
      </w:tr>
      <w:tr>
        <w:tblPrEx>
          <w:tblCellMar>
            <w:top w:w="0" w:type="dxa"/>
            <w:left w:w="108" w:type="dxa"/>
            <w:bottom w:w="0" w:type="dxa"/>
            <w:right w:w="108" w:type="dxa"/>
          </w:tblCellMar>
        </w:tblPrEx>
        <w:trPr>
          <w:trHeight w:val="3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4"/>
                <w:highlight w:val="none"/>
              </w:rPr>
            </w:pPr>
          </w:p>
        </w:tc>
        <w:tc>
          <w:tcPr>
            <w:tcW w:w="41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0</w:t>
            </w:r>
          </w:p>
        </w:tc>
      </w:tr>
      <w:tr>
        <w:tblPrEx>
          <w:tblCellMar>
            <w:top w:w="0" w:type="dxa"/>
            <w:left w:w="108" w:type="dxa"/>
            <w:bottom w:w="0" w:type="dxa"/>
            <w:right w:w="108" w:type="dxa"/>
          </w:tblCellMar>
        </w:tblPrEx>
        <w:trPr>
          <w:trHeight w:val="300" w:hRule="atLeast"/>
        </w:trPr>
        <w:tc>
          <w:tcPr>
            <w:tcW w:w="45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总分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100</w:t>
            </w:r>
          </w:p>
        </w:tc>
      </w:tr>
    </w:tbl>
    <w:p>
      <w:pPr>
        <w:spacing w:line="560" w:lineRule="exact"/>
        <w:ind w:firstLine="686" w:firstLineChars="245"/>
        <w:rPr>
          <w:rFonts w:eastAsia="仿宋_GB2312"/>
          <w:sz w:val="28"/>
          <w:szCs w:val="28"/>
          <w:highlight w:val="none"/>
        </w:rPr>
      </w:pPr>
    </w:p>
    <w:bookmarkEnd w:id="0"/>
    <w:p>
      <w:pPr>
        <w:spacing w:line="560" w:lineRule="exact"/>
        <w:ind w:firstLine="686" w:firstLineChars="245"/>
        <w:rPr>
          <w:rFonts w:eastAsia="仿宋_GB2312"/>
          <w:sz w:val="28"/>
          <w:szCs w:val="28"/>
        </w:rPr>
      </w:pPr>
    </w:p>
    <w:p>
      <w:pPr>
        <w:numPr>
          <w:ilvl w:val="255"/>
          <w:numId w:val="0"/>
        </w:numPr>
        <w:snapToGrid w:val="0"/>
        <w:spacing w:line="360" w:lineRule="auto"/>
        <w:rPr>
          <w:rFonts w:eastAsiaTheme="majorEastAsia"/>
          <w:b/>
          <w:bCs/>
          <w:sz w:val="28"/>
          <w:szCs w:val="28"/>
        </w:rPr>
      </w:pP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4500" w:firstLineChars="25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Style w:val="24"/>
                            </w:rPr>
                          </w:pPr>
                          <w:r>
                            <w:fldChar w:fldCharType="begin"/>
                          </w:r>
                          <w:r>
                            <w:rPr>
                              <w:rStyle w:val="24"/>
                            </w:rPr>
                            <w:instrText xml:space="preserve">PAGE  </w:instrText>
                          </w:r>
                          <w:r>
                            <w:fldChar w:fldCharType="separate"/>
                          </w:r>
                          <w:r>
                            <w:rPr>
                              <w:rStyle w:val="24"/>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pPr>
                      <w:pStyle w:val="15"/>
                      <w:rPr>
                        <w:rStyle w:val="24"/>
                      </w:rPr>
                    </w:pPr>
                    <w:r>
                      <w:fldChar w:fldCharType="begin"/>
                    </w:r>
                    <w:r>
                      <w:rPr>
                        <w:rStyle w:val="24"/>
                      </w:rPr>
                      <w:instrText xml:space="preserve">PAGE  </w:instrText>
                    </w:r>
                    <w:r>
                      <w:fldChar w:fldCharType="separate"/>
                    </w:r>
                    <w:r>
                      <w:rPr>
                        <w:rStyle w:val="24"/>
                      </w:rPr>
                      <w:t>39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7559F"/>
    <w:multiLevelType w:val="multilevel"/>
    <w:tmpl w:val="4427559F"/>
    <w:lvl w:ilvl="0" w:tentative="0">
      <w:start w:val="1"/>
      <w:numFmt w:val="chineseCountingThousand"/>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284" w:firstLine="0"/>
      </w:pPr>
      <w:rPr>
        <w:rFonts w:hint="eastAsia"/>
      </w:rPr>
    </w:lvl>
    <w:lvl w:ilvl="2" w:tentative="0">
      <w:start w:val="1"/>
      <w:numFmt w:val="decimal"/>
      <w:lvlText w:val="%3、"/>
      <w:lvlJc w:val="left"/>
      <w:pPr>
        <w:ind w:left="992"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RjNDFjZmU4ZmMzNDUzNjg1Njc0OTYxYWQyNzYifQ=="/>
  </w:docVars>
  <w:rsids>
    <w:rsidRoot w:val="765F3543"/>
    <w:rsid w:val="001E6288"/>
    <w:rsid w:val="00222933"/>
    <w:rsid w:val="002B2F14"/>
    <w:rsid w:val="00565B7C"/>
    <w:rsid w:val="005B022E"/>
    <w:rsid w:val="00607C2F"/>
    <w:rsid w:val="007237D2"/>
    <w:rsid w:val="008C0C96"/>
    <w:rsid w:val="008F645C"/>
    <w:rsid w:val="00920D80"/>
    <w:rsid w:val="00A75111"/>
    <w:rsid w:val="00B46018"/>
    <w:rsid w:val="00BD673A"/>
    <w:rsid w:val="00BD71A3"/>
    <w:rsid w:val="00E42DCE"/>
    <w:rsid w:val="00EB5A9F"/>
    <w:rsid w:val="00F05253"/>
    <w:rsid w:val="01237E6B"/>
    <w:rsid w:val="012D11FA"/>
    <w:rsid w:val="01501B54"/>
    <w:rsid w:val="029B0DFF"/>
    <w:rsid w:val="03E30E9C"/>
    <w:rsid w:val="049E3C57"/>
    <w:rsid w:val="04D257EB"/>
    <w:rsid w:val="04F335BF"/>
    <w:rsid w:val="063666D1"/>
    <w:rsid w:val="06CF662A"/>
    <w:rsid w:val="07B46C8C"/>
    <w:rsid w:val="08C2670B"/>
    <w:rsid w:val="08FA30DF"/>
    <w:rsid w:val="08FF3B2A"/>
    <w:rsid w:val="09096E52"/>
    <w:rsid w:val="096176E4"/>
    <w:rsid w:val="09D71C85"/>
    <w:rsid w:val="0A3A3B85"/>
    <w:rsid w:val="0B7E7E10"/>
    <w:rsid w:val="0BE30724"/>
    <w:rsid w:val="0C2F2AB2"/>
    <w:rsid w:val="0CB42FB3"/>
    <w:rsid w:val="0F1727CE"/>
    <w:rsid w:val="0F297E4E"/>
    <w:rsid w:val="10C33B0F"/>
    <w:rsid w:val="11A22AF1"/>
    <w:rsid w:val="11BE5CE9"/>
    <w:rsid w:val="12207EF9"/>
    <w:rsid w:val="12452986"/>
    <w:rsid w:val="147F4B23"/>
    <w:rsid w:val="155B72A2"/>
    <w:rsid w:val="159D4362"/>
    <w:rsid w:val="15B067C7"/>
    <w:rsid w:val="174D6BC3"/>
    <w:rsid w:val="17C23687"/>
    <w:rsid w:val="18050F55"/>
    <w:rsid w:val="186E10C6"/>
    <w:rsid w:val="1A0A3F36"/>
    <w:rsid w:val="1A966217"/>
    <w:rsid w:val="1BB7118B"/>
    <w:rsid w:val="1BE51DF3"/>
    <w:rsid w:val="1C884DFC"/>
    <w:rsid w:val="1D815127"/>
    <w:rsid w:val="1E397E5F"/>
    <w:rsid w:val="1E9530D3"/>
    <w:rsid w:val="1EA013A5"/>
    <w:rsid w:val="1EBD7CFB"/>
    <w:rsid w:val="1EF82BE6"/>
    <w:rsid w:val="1F32342A"/>
    <w:rsid w:val="1FF63592"/>
    <w:rsid w:val="214732E4"/>
    <w:rsid w:val="21A02E73"/>
    <w:rsid w:val="21A3443C"/>
    <w:rsid w:val="21FB7A5E"/>
    <w:rsid w:val="221462A4"/>
    <w:rsid w:val="22E40170"/>
    <w:rsid w:val="23790DD4"/>
    <w:rsid w:val="24513EB3"/>
    <w:rsid w:val="25857542"/>
    <w:rsid w:val="25C565A5"/>
    <w:rsid w:val="26F86D13"/>
    <w:rsid w:val="27E33B42"/>
    <w:rsid w:val="281D1359"/>
    <w:rsid w:val="28C8445B"/>
    <w:rsid w:val="29F7320D"/>
    <w:rsid w:val="2A2D0C78"/>
    <w:rsid w:val="2A394F1D"/>
    <w:rsid w:val="2B510EB0"/>
    <w:rsid w:val="2CD70CF0"/>
    <w:rsid w:val="2D0E5941"/>
    <w:rsid w:val="2DB143D8"/>
    <w:rsid w:val="2E5D4A71"/>
    <w:rsid w:val="2EBB77E3"/>
    <w:rsid w:val="2ECA187B"/>
    <w:rsid w:val="2F0552FB"/>
    <w:rsid w:val="2F155C62"/>
    <w:rsid w:val="330E3623"/>
    <w:rsid w:val="338A06D6"/>
    <w:rsid w:val="33A406B7"/>
    <w:rsid w:val="33C43E75"/>
    <w:rsid w:val="33D03323"/>
    <w:rsid w:val="34260F9E"/>
    <w:rsid w:val="346C19AA"/>
    <w:rsid w:val="34A623E4"/>
    <w:rsid w:val="351914C8"/>
    <w:rsid w:val="355C1CF8"/>
    <w:rsid w:val="36F321FD"/>
    <w:rsid w:val="374F08D4"/>
    <w:rsid w:val="39570DCA"/>
    <w:rsid w:val="399D259D"/>
    <w:rsid w:val="3A692476"/>
    <w:rsid w:val="3A6B5BE1"/>
    <w:rsid w:val="3CA43D56"/>
    <w:rsid w:val="3D9077EA"/>
    <w:rsid w:val="3E8C19E7"/>
    <w:rsid w:val="4171511B"/>
    <w:rsid w:val="42E305BF"/>
    <w:rsid w:val="43AF4BAE"/>
    <w:rsid w:val="444D3558"/>
    <w:rsid w:val="44F47C0E"/>
    <w:rsid w:val="45D12D99"/>
    <w:rsid w:val="460B6721"/>
    <w:rsid w:val="463C3C0D"/>
    <w:rsid w:val="465A2C5A"/>
    <w:rsid w:val="472965B9"/>
    <w:rsid w:val="498009B5"/>
    <w:rsid w:val="4C2D4689"/>
    <w:rsid w:val="4DFA6ADA"/>
    <w:rsid w:val="4F2B705E"/>
    <w:rsid w:val="4F7D2CF9"/>
    <w:rsid w:val="50203267"/>
    <w:rsid w:val="513A2E22"/>
    <w:rsid w:val="51937DAA"/>
    <w:rsid w:val="5237584C"/>
    <w:rsid w:val="53127C5D"/>
    <w:rsid w:val="53C214A4"/>
    <w:rsid w:val="55440772"/>
    <w:rsid w:val="561D2B01"/>
    <w:rsid w:val="570C0D53"/>
    <w:rsid w:val="5892505A"/>
    <w:rsid w:val="58CD7AC9"/>
    <w:rsid w:val="5BBA0ED0"/>
    <w:rsid w:val="5BEE06F2"/>
    <w:rsid w:val="5C950094"/>
    <w:rsid w:val="5CD34356"/>
    <w:rsid w:val="5D101956"/>
    <w:rsid w:val="5D4C617C"/>
    <w:rsid w:val="5E700B8C"/>
    <w:rsid w:val="5E973A1B"/>
    <w:rsid w:val="5F9E02F3"/>
    <w:rsid w:val="5FFF230B"/>
    <w:rsid w:val="602C6A46"/>
    <w:rsid w:val="603C61E2"/>
    <w:rsid w:val="60482912"/>
    <w:rsid w:val="617666A5"/>
    <w:rsid w:val="61C12D16"/>
    <w:rsid w:val="61C37357"/>
    <w:rsid w:val="63DA254C"/>
    <w:rsid w:val="69277FAC"/>
    <w:rsid w:val="693F3EFA"/>
    <w:rsid w:val="6A077828"/>
    <w:rsid w:val="6AE807B5"/>
    <w:rsid w:val="6CA733C5"/>
    <w:rsid w:val="6CB3398E"/>
    <w:rsid w:val="6FC73E3F"/>
    <w:rsid w:val="70325B5A"/>
    <w:rsid w:val="72F363AD"/>
    <w:rsid w:val="742C29DE"/>
    <w:rsid w:val="7464559D"/>
    <w:rsid w:val="749B5EFA"/>
    <w:rsid w:val="74DB2231"/>
    <w:rsid w:val="75A461B9"/>
    <w:rsid w:val="765F3543"/>
    <w:rsid w:val="792F12AF"/>
    <w:rsid w:val="7B057101"/>
    <w:rsid w:val="7B165D1B"/>
    <w:rsid w:val="7B670AC2"/>
    <w:rsid w:val="7F6A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黑体"/>
      <w:b/>
      <w:sz w:val="32"/>
      <w:szCs w:val="20"/>
    </w:rPr>
  </w:style>
  <w:style w:type="paragraph" w:styleId="4">
    <w:name w:val="heading 2"/>
    <w:basedOn w:val="1"/>
    <w:next w:val="1"/>
    <w:unhideWhenUsed/>
    <w:qFormat/>
    <w:uiPriority w:val="9"/>
    <w:pPr>
      <w:keepNext/>
      <w:keepLines/>
      <w:numPr>
        <w:ilvl w:val="1"/>
        <w:numId w:val="1"/>
      </w:numPr>
      <w:spacing w:before="240" w:after="120" w:line="360" w:lineRule="auto"/>
      <w:outlineLvl w:val="1"/>
    </w:pPr>
    <w:rPr>
      <w:rFonts w:asciiTheme="majorHAnsi" w:hAnsiTheme="majorHAnsi" w:cstheme="majorBidi"/>
      <w:b/>
      <w:bCs/>
      <w:sz w:val="28"/>
      <w:szCs w:val="32"/>
    </w:rPr>
  </w:style>
  <w:style w:type="paragraph" w:styleId="5">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annotation text"/>
    <w:basedOn w:val="1"/>
    <w:link w:val="32"/>
    <w:qFormat/>
    <w:uiPriority w:val="0"/>
    <w:pPr>
      <w:jc w:val="left"/>
    </w:pPr>
  </w:style>
  <w:style w:type="paragraph" w:styleId="7">
    <w:name w:val="Body Text"/>
    <w:basedOn w:val="1"/>
    <w:next w:val="1"/>
    <w:qFormat/>
    <w:uiPriority w:val="0"/>
    <w:rPr>
      <w:rFonts w:ascii="Verdana" w:hAnsi="Verdana" w:eastAsia="仿宋_GB2312"/>
      <w:sz w:val="24"/>
      <w:lang w:eastAsia="en-US"/>
    </w:rPr>
  </w:style>
  <w:style w:type="paragraph" w:styleId="8">
    <w:name w:val="Body Text Indent"/>
    <w:basedOn w:val="1"/>
    <w:next w:val="9"/>
    <w:qFormat/>
    <w:uiPriority w:val="0"/>
    <w:pPr>
      <w:ind w:left="480" w:hanging="480" w:hangingChars="200"/>
    </w:pPr>
    <w:rPr>
      <w:sz w:val="24"/>
    </w:rPr>
  </w:style>
  <w:style w:type="paragraph" w:customStyle="1" w:styleId="9">
    <w:name w:val="正文文本首行缩进 21"/>
    <w:basedOn w:val="10"/>
    <w:qFormat/>
    <w:uiPriority w:val="99"/>
    <w:pPr>
      <w:tabs>
        <w:tab w:val="right" w:leader="dot" w:pos="8268"/>
      </w:tabs>
      <w:spacing w:line="200" w:lineRule="atLeast"/>
      <w:ind w:firstLine="420"/>
    </w:pPr>
    <w:rPr>
      <w:rFonts w:hAnsi="Courier New"/>
      <w:spacing w:val="-4"/>
      <w:sz w:val="18"/>
    </w:rPr>
  </w:style>
  <w:style w:type="paragraph" w:customStyle="1" w:styleId="10">
    <w:name w:val="正文缩进1"/>
    <w:basedOn w:val="11"/>
    <w:next w:val="9"/>
    <w:qFormat/>
    <w:uiPriority w:val="0"/>
    <w:pPr>
      <w:autoSpaceDE w:val="0"/>
      <w:autoSpaceDN w:val="0"/>
      <w:adjustRightInd w:val="0"/>
      <w:snapToGrid w:val="0"/>
      <w:spacing w:after="120"/>
      <w:ind w:left="420" w:leftChars="200" w:firstLine="480" w:firstLineChars="200"/>
    </w:pPr>
    <w:rPr>
      <w:sz w:val="24"/>
      <w:szCs w:val="21"/>
    </w:rPr>
  </w:style>
  <w:style w:type="paragraph" w:customStyle="1" w:styleId="11">
    <w:name w:val="正文1"/>
    <w:basedOn w:val="12"/>
    <w:next w:val="13"/>
    <w:qFormat/>
    <w:uiPriority w:val="0"/>
    <w:pPr>
      <w:widowControl/>
      <w:spacing w:line="360" w:lineRule="auto"/>
      <w:ind w:left="360" w:firstLine="420"/>
      <w:jc w:val="left"/>
    </w:pPr>
    <w:rPr>
      <w:rFonts w:ascii="宋体" w:hAnsi="宋体" w:cs="宋体"/>
      <w:kern w:val="0"/>
      <w:szCs w:val="20"/>
    </w:rPr>
  </w:style>
  <w:style w:type="paragraph" w:styleId="12">
    <w:name w:val="toc 3"/>
    <w:basedOn w:val="1"/>
    <w:next w:val="1"/>
    <w:qFormat/>
    <w:uiPriority w:val="0"/>
    <w:pPr>
      <w:ind w:left="840" w:leftChars="400"/>
    </w:pPr>
  </w:style>
  <w:style w:type="paragraph" w:customStyle="1" w:styleId="13">
    <w:name w:val="标题 21"/>
    <w:basedOn w:val="11"/>
    <w:next w:val="11"/>
    <w:qFormat/>
    <w:uiPriority w:val="0"/>
    <w:pPr>
      <w:keepNext/>
      <w:keepLines/>
      <w:tabs>
        <w:tab w:val="left" w:pos="706"/>
      </w:tabs>
      <w:ind w:left="106" w:firstLine="454"/>
      <w:outlineLvl w:val="1"/>
    </w:pPr>
    <w:rPr>
      <w:rFonts w:ascii="Arial" w:hAnsi="Arial" w:eastAsia="??"/>
      <w:b/>
      <w:bCs/>
      <w:szCs w:val="3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6"/>
    <w:next w:val="6"/>
    <w:link w:val="33"/>
    <w:qFormat/>
    <w:uiPriority w:val="0"/>
    <w:rPr>
      <w:b/>
      <w:bCs/>
    </w:rPr>
  </w:style>
  <w:style w:type="paragraph" w:styleId="19">
    <w:name w:val="Body Text First Indent 2"/>
    <w:basedOn w:val="8"/>
    <w:qFormat/>
    <w:uiPriority w:val="0"/>
    <w:pPr>
      <w:spacing w:after="120"/>
      <w:ind w:left="420" w:leftChars="200" w:firstLine="420"/>
    </w:pPr>
    <w:rPr>
      <w:rFonts w:cs="宋体"/>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annotation reference"/>
    <w:basedOn w:val="22"/>
    <w:qFormat/>
    <w:uiPriority w:val="0"/>
    <w:rPr>
      <w:sz w:val="21"/>
      <w:szCs w:val="21"/>
    </w:rPr>
  </w:style>
  <w:style w:type="paragraph" w:customStyle="1" w:styleId="26">
    <w:name w:val="标题 3.1"/>
    <w:basedOn w:val="5"/>
    <w:qFormat/>
    <w:uiPriority w:val="0"/>
    <w:pPr>
      <w:tabs>
        <w:tab w:val="left" w:pos="1440"/>
        <w:tab w:val="left" w:pos="1620"/>
      </w:tabs>
      <w:jc w:val="both"/>
    </w:pPr>
    <w:rPr>
      <w:rFonts w:ascii="宋体" w:hAnsi="宋体" w:eastAsia="宋体"/>
      <w:color w:val="FF0000"/>
    </w:rPr>
  </w:style>
  <w:style w:type="paragraph" w:customStyle="1" w:styleId="2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段落"/>
    <w:basedOn w:val="1"/>
    <w:qFormat/>
    <w:uiPriority w:val="0"/>
    <w:pPr>
      <w:spacing w:before="25" w:beforeLines="25" w:after="25" w:afterLines="25" w:line="360" w:lineRule="auto"/>
      <w:ind w:firstLine="200" w:firstLineChars="200"/>
    </w:pPr>
  </w:style>
  <w:style w:type="paragraph" w:styleId="29">
    <w:name w:val="List Paragraph"/>
    <w:basedOn w:val="1"/>
    <w:qFormat/>
    <w:uiPriority w:val="34"/>
    <w:pPr>
      <w:ind w:firstLine="420" w:firstLineChars="200"/>
    </w:pPr>
  </w:style>
  <w:style w:type="paragraph" w:customStyle="1" w:styleId="30">
    <w:name w:val="样式1"/>
    <w:basedOn w:val="1"/>
    <w:qFormat/>
    <w:uiPriority w:val="0"/>
    <w:pPr>
      <w:autoSpaceDE w:val="0"/>
      <w:autoSpaceDN w:val="0"/>
      <w:adjustRightInd w:val="0"/>
      <w:spacing w:line="400" w:lineRule="exact"/>
    </w:pPr>
    <w:rPr>
      <w:rFonts w:ascii="宋体" w:cs="宋体"/>
      <w:kern w:val="0"/>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批注文字 字符"/>
    <w:basedOn w:val="22"/>
    <w:link w:val="6"/>
    <w:qFormat/>
    <w:uiPriority w:val="0"/>
    <w:rPr>
      <w:kern w:val="2"/>
      <w:sz w:val="21"/>
      <w:szCs w:val="24"/>
    </w:rPr>
  </w:style>
  <w:style w:type="character" w:customStyle="1" w:styleId="33">
    <w:name w:val="批注主题 字符"/>
    <w:basedOn w:val="32"/>
    <w:link w:val="18"/>
    <w:qFormat/>
    <w:uiPriority w:val="0"/>
    <w:rPr>
      <w:b/>
      <w:bCs/>
      <w:kern w:val="2"/>
      <w:sz w:val="21"/>
      <w:szCs w:val="24"/>
    </w:rPr>
  </w:style>
  <w:style w:type="character" w:customStyle="1" w:styleId="34">
    <w:name w:val="font61"/>
    <w:basedOn w:val="22"/>
    <w:qFormat/>
    <w:uiPriority w:val="0"/>
    <w:rPr>
      <w:rFonts w:hint="default" w:ascii="Times New Roman" w:hAnsi="Times New Roman" w:cs="Times New Roman"/>
      <w:color w:val="000000"/>
      <w:sz w:val="21"/>
      <w:szCs w:val="21"/>
      <w:u w:val="none"/>
    </w:rPr>
  </w:style>
  <w:style w:type="character" w:customStyle="1" w:styleId="35">
    <w:name w:val="font41"/>
    <w:basedOn w:val="22"/>
    <w:qFormat/>
    <w:uiPriority w:val="0"/>
    <w:rPr>
      <w:rFonts w:hint="eastAsia" w:ascii="宋体" w:hAnsi="宋体" w:eastAsia="宋体" w:cs="宋体"/>
      <w:color w:val="000000"/>
      <w:sz w:val="21"/>
      <w:szCs w:val="21"/>
      <w:u w:val="none"/>
    </w:rPr>
  </w:style>
  <w:style w:type="character" w:customStyle="1" w:styleId="36">
    <w:name w:val="页眉 字符"/>
    <w:basedOn w:val="22"/>
    <w:link w:val="16"/>
    <w:qFormat/>
    <w:uiPriority w:val="0"/>
    <w:rPr>
      <w:kern w:val="2"/>
      <w:sz w:val="18"/>
      <w:szCs w:val="18"/>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2424</Words>
  <Characters>2482</Characters>
  <Lines>19</Lines>
  <Paragraphs>5</Paragraphs>
  <TotalTime>23</TotalTime>
  <ScaleCrop>false</ScaleCrop>
  <LinksUpToDate>false</LinksUpToDate>
  <CharactersWithSpaces>2482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2025-06-18T09:20:00Z</dcterms:created>
  <dc:creator>晓江</dc:creator>
  <cp:lastModifiedBy>F:)</cp:lastModifiedBy>
  <cp:lastPrinted>2025-01-17T01:15:00Z</cp:lastPrinted>
  <dcterms:modified xsi:type="dcterms:W3CDTF">2025-08-14T00:44:23Z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F4C4BFE6B2834AE4BDB268D6E012D870_13</vt:lpwstr>
  </property>
  <property fmtid="{D5CDD505-2E9C-101B-9397-08002B2CF9AE}" pid="4" name="KSOTemplateDocerSaveRecord">
    <vt:lpwstr>eyJoZGlkIjoiZjdkMWU1MTdiMzg3ZjdkMDBiMzRlMWEzNDQ4MWU1NTMiLCJ1c2VySWQiOiIzMjk2MzQ5MTQifQ==</vt:lpwstr>
  </property>
</Properties>
</file>