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255"/>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评审标准</w:t>
      </w:r>
      <w:bookmarkStart w:id="3" w:name="_GoBack"/>
      <w:bookmarkEnd w:id="3"/>
    </w:p>
    <w:p>
      <w:pPr>
        <w:pStyle w:val="2"/>
        <w:rPr>
          <w:rFonts w:hint="default"/>
        </w:rPr>
      </w:pPr>
    </w:p>
    <w:p>
      <w:pPr>
        <w:widowControl/>
        <w:snapToGrid w:val="0"/>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采购人成立评审小组，对供应商响应文件进行评审。得分为评审小组成员评分的算术平均分，分值保留小数点后两位。</w:t>
      </w:r>
    </w:p>
    <w:p>
      <w:pPr>
        <w:widowControl/>
        <w:numPr>
          <w:ilvl w:val="255"/>
          <w:numId w:val="0"/>
        </w:numPr>
        <w:spacing w:line="560" w:lineRule="exact"/>
        <w:ind w:firstLine="686" w:firstLineChars="245"/>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一、评审原则</w:t>
      </w:r>
    </w:p>
    <w:p>
      <w:pPr>
        <w:spacing w:line="560" w:lineRule="exact"/>
        <w:ind w:firstLine="686" w:firstLineChars="24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次采购采用百分制综合评分法，即在供应商最大限度地满足项目需求书实质性要求的基础上，按照评分标准的各项因素进行综合评审后，以评审总得分最高的供应商和次高的供应商作为第一和第二排序候选人的评分方法（若评审总得分相同，以报价低者优先）。根据采购要求，</w:t>
      </w:r>
      <w:r>
        <w:rPr>
          <w:rFonts w:hint="default" w:ascii="Times New Roman" w:hAnsi="Times New Roman" w:eastAsia="仿宋_GB2312" w:cs="Times New Roman"/>
          <w:b/>
          <w:bCs/>
          <w:sz w:val="28"/>
          <w:szCs w:val="28"/>
        </w:rPr>
        <w:t>总分设定为100分：商务标60分（权值60%），技术标30分（权值30%），报价得分10分（权值10%）</w:t>
      </w:r>
      <w:r>
        <w:rPr>
          <w:rFonts w:hint="default" w:ascii="Times New Roman" w:hAnsi="Times New Roman" w:eastAsia="仿宋_GB2312" w:cs="Times New Roman"/>
          <w:sz w:val="28"/>
          <w:szCs w:val="28"/>
        </w:rPr>
        <w:t>。</w:t>
      </w:r>
    </w:p>
    <w:p>
      <w:pPr>
        <w:spacing w:line="560" w:lineRule="exact"/>
        <w:ind w:firstLine="686" w:firstLineChars="245"/>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二、评分方式</w:t>
      </w:r>
    </w:p>
    <w:p>
      <w:pPr>
        <w:spacing w:line="560" w:lineRule="exact"/>
        <w:ind w:firstLine="686" w:firstLineChars="24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根据评审原则，所有响应文件的评分按商务部分、技术部分和报价部分三个部分分别打分的方式进行。</w:t>
      </w:r>
    </w:p>
    <w:p>
      <w:pPr>
        <w:spacing w:line="560" w:lineRule="exact"/>
        <w:ind w:firstLine="686" w:firstLineChars="245"/>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rPr>
        <w:t>评标</w:t>
      </w:r>
      <w:r>
        <w:rPr>
          <w:rFonts w:hint="default" w:ascii="Times New Roman" w:hAnsi="Times New Roman" w:eastAsia="仿宋_GB2312" w:cs="Times New Roman"/>
          <w:sz w:val="28"/>
          <w:szCs w:val="28"/>
          <w:highlight w:val="none"/>
        </w:rPr>
        <w:t>总得分（100分）=商务部分（60分）+技术部分（30分）+报价部分（10分）。</w:t>
      </w:r>
    </w:p>
    <w:tbl>
      <w:tblPr>
        <w:tblStyle w:val="20"/>
        <w:tblW w:w="4997" w:type="pct"/>
        <w:tblInd w:w="0" w:type="dxa"/>
        <w:tblLayout w:type="fixed"/>
        <w:tblCellMar>
          <w:top w:w="0" w:type="dxa"/>
          <w:left w:w="108" w:type="dxa"/>
          <w:bottom w:w="0" w:type="dxa"/>
          <w:right w:w="108" w:type="dxa"/>
        </w:tblCellMar>
      </w:tblPr>
      <w:tblGrid>
        <w:gridCol w:w="810"/>
        <w:gridCol w:w="1324"/>
        <w:gridCol w:w="6144"/>
        <w:gridCol w:w="778"/>
      </w:tblGrid>
      <w:tr>
        <w:tblPrEx>
          <w:tblCellMar>
            <w:top w:w="0" w:type="dxa"/>
            <w:left w:w="108" w:type="dxa"/>
            <w:bottom w:w="0" w:type="dxa"/>
            <w:right w:w="108" w:type="dxa"/>
          </w:tblCellMar>
        </w:tblPrEx>
        <w:trPr>
          <w:trHeight w:val="6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评审部分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评审内容</w:t>
            </w:r>
          </w:p>
        </w:tc>
        <w:tc>
          <w:tcPr>
            <w:tcW w:w="3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评分细则</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分值</w:t>
            </w:r>
          </w:p>
        </w:tc>
      </w:tr>
      <w:tr>
        <w:tblPrEx>
          <w:tblCellMar>
            <w:top w:w="0" w:type="dxa"/>
            <w:left w:w="108" w:type="dxa"/>
            <w:bottom w:w="0" w:type="dxa"/>
            <w:right w:w="108" w:type="dxa"/>
          </w:tblCellMar>
        </w:tblPrEx>
        <w:trPr>
          <w:trHeight w:val="1420"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商务部分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项目负责人员</w:t>
            </w:r>
          </w:p>
        </w:tc>
        <w:tc>
          <w:tcPr>
            <w:tcW w:w="3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项目负责人具备地震相关专业高级工程师或以上职称，得</w:t>
            </w:r>
            <w:r>
              <w:rPr>
                <w:rFonts w:hint="default" w:ascii="Times New Roman" w:hAnsi="Times New Roman" w:cs="Times New Roman"/>
                <w:color w:val="000000"/>
                <w:kern w:val="0"/>
                <w:sz w:val="24"/>
                <w:highlight w:val="none"/>
                <w:lang w:val="en-US" w:eastAsia="zh-CN" w:bidi="ar"/>
              </w:rPr>
              <w:t>9</w:t>
            </w:r>
            <w:r>
              <w:rPr>
                <w:rFonts w:hint="default" w:ascii="Times New Roman" w:hAnsi="Times New Roman" w:cs="Times New Roman"/>
                <w:color w:val="000000"/>
                <w:kern w:val="0"/>
                <w:sz w:val="24"/>
                <w:highlight w:val="none"/>
                <w:lang w:bidi="ar"/>
              </w:rPr>
              <w:t>分，本项最高得</w:t>
            </w:r>
            <w:r>
              <w:rPr>
                <w:rFonts w:hint="default" w:ascii="Times New Roman" w:hAnsi="Times New Roman" w:cs="Times New Roman"/>
                <w:color w:val="000000"/>
                <w:kern w:val="0"/>
                <w:sz w:val="24"/>
                <w:highlight w:val="none"/>
                <w:lang w:val="en-US" w:eastAsia="zh-CN" w:bidi="ar"/>
              </w:rPr>
              <w:t>9</w:t>
            </w:r>
            <w:r>
              <w:rPr>
                <w:rFonts w:hint="default" w:ascii="Times New Roman" w:hAnsi="Times New Roman" w:cs="Times New Roman"/>
                <w:color w:val="000000"/>
                <w:kern w:val="0"/>
                <w:sz w:val="24"/>
                <w:highlight w:val="none"/>
                <w:lang w:bidi="ar"/>
              </w:rPr>
              <w:t>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注：提供相关证书的扫描件，并加盖供应商公章，不提供不得分。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kern w:val="0"/>
                <w:sz w:val="24"/>
                <w:highlight w:val="none"/>
                <w:lang w:val="en-US" w:eastAsia="zh-CN" w:bidi="ar"/>
              </w:rPr>
              <w:t>9</w:t>
            </w:r>
          </w:p>
        </w:tc>
      </w:tr>
      <w:tr>
        <w:tblPrEx>
          <w:tblCellMar>
            <w:top w:w="0" w:type="dxa"/>
            <w:left w:w="108" w:type="dxa"/>
            <w:bottom w:w="0" w:type="dxa"/>
            <w:right w:w="108" w:type="dxa"/>
          </w:tblCellMar>
        </w:tblPrEx>
        <w:trPr>
          <w:trHeight w:val="186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专业技术能力1</w:t>
            </w:r>
          </w:p>
        </w:tc>
        <w:tc>
          <w:tcPr>
            <w:tcW w:w="3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4"/>
                <w:highlight w:val="none"/>
              </w:rPr>
            </w:pPr>
            <w:bookmarkStart w:id="0" w:name="_Hlk204093403"/>
            <w:r>
              <w:rPr>
                <w:rFonts w:hint="default" w:ascii="Times New Roman" w:hAnsi="Times New Roman" w:cs="Times New Roman"/>
                <w:color w:val="000000"/>
                <w:kern w:val="0"/>
                <w:sz w:val="24"/>
                <w:highlight w:val="none"/>
                <w:lang w:bidi="ar"/>
              </w:rPr>
              <w:t>能熟练完成台站现有</w:t>
            </w:r>
            <w:bookmarkStart w:id="1" w:name="_Hlk204093360"/>
            <w:r>
              <w:rPr>
                <w:rFonts w:hint="default" w:ascii="Times New Roman" w:hAnsi="Times New Roman" w:cs="Times New Roman"/>
                <w:color w:val="000000"/>
                <w:kern w:val="0"/>
                <w:sz w:val="24"/>
                <w:highlight w:val="none"/>
                <w:lang w:bidi="ar"/>
              </w:rPr>
              <w:t>专业设备的使用、安装、调试、故障排查及修复的能力，</w:t>
            </w:r>
            <w:bookmarkEnd w:id="0"/>
            <w:bookmarkEnd w:id="1"/>
            <w:r>
              <w:rPr>
                <w:rFonts w:hint="default" w:ascii="Times New Roman" w:hAnsi="Times New Roman" w:cs="Times New Roman"/>
                <w:color w:val="000000"/>
                <w:kern w:val="0"/>
                <w:sz w:val="24"/>
                <w:highlight w:val="none"/>
                <w:lang w:bidi="ar"/>
              </w:rPr>
              <w:t>提供由满足测量规范的GNSS主机厂商出具的使用培训证明或培训证书。得5分。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注：提供相关证明材料的扫描件，并加盖供应商公章，不提供不得分。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5</w:t>
            </w:r>
          </w:p>
        </w:tc>
      </w:tr>
      <w:tr>
        <w:tblPrEx>
          <w:tblCellMar>
            <w:top w:w="0" w:type="dxa"/>
            <w:left w:w="108" w:type="dxa"/>
            <w:bottom w:w="0" w:type="dxa"/>
            <w:right w:w="108" w:type="dxa"/>
          </w:tblCellMar>
        </w:tblPrEx>
        <w:trPr>
          <w:trHeight w:val="144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专业技术能力3</w:t>
            </w:r>
          </w:p>
        </w:tc>
        <w:tc>
          <w:tcPr>
            <w:tcW w:w="3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1.</w:t>
            </w:r>
            <w:bookmarkStart w:id="2" w:name="_Hlk204094407"/>
            <w:r>
              <w:rPr>
                <w:rFonts w:hint="default" w:ascii="Times New Roman" w:hAnsi="Times New Roman" w:cs="Times New Roman"/>
                <w:color w:val="000000"/>
                <w:kern w:val="0"/>
                <w:sz w:val="24"/>
                <w:highlight w:val="none"/>
                <w:lang w:bidi="ar"/>
              </w:rPr>
              <w:t>具备利用地震台网数据处理软件系统完成台站数据互联互通及运维监控管理的能力，</w:t>
            </w:r>
            <w:bookmarkEnd w:id="2"/>
            <w:r>
              <w:rPr>
                <w:rFonts w:hint="default" w:ascii="Times New Roman" w:hAnsi="Times New Roman" w:cs="Times New Roman"/>
                <w:color w:val="000000"/>
                <w:kern w:val="0"/>
                <w:sz w:val="24"/>
                <w:highlight w:val="none"/>
                <w:lang w:bidi="ar"/>
              </w:rPr>
              <w:t>提供由省级及以上地震主管部门出具给</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的关于该地震台网数据处理软件系统的用户评价报告。每提供1份得</w:t>
            </w:r>
            <w:r>
              <w:rPr>
                <w:rFonts w:hint="default" w:ascii="Times New Roman" w:hAnsi="Times New Roman" w:cs="Times New Roman"/>
                <w:color w:val="000000"/>
                <w:kern w:val="0"/>
                <w:sz w:val="24"/>
                <w:highlight w:val="none"/>
                <w:lang w:val="en-US" w:eastAsia="zh-CN" w:bidi="ar"/>
              </w:rPr>
              <w:t>2</w:t>
            </w:r>
            <w:r>
              <w:rPr>
                <w:rFonts w:hint="default" w:ascii="Times New Roman" w:hAnsi="Times New Roman" w:cs="Times New Roman"/>
                <w:color w:val="000000"/>
                <w:kern w:val="0"/>
                <w:sz w:val="24"/>
                <w:highlight w:val="none"/>
                <w:lang w:bidi="ar"/>
              </w:rPr>
              <w:t>分，同一单位的用户报告视为同一份，不重复得分，最高得</w:t>
            </w:r>
            <w:r>
              <w:rPr>
                <w:rFonts w:hint="default" w:ascii="Times New Roman" w:hAnsi="Times New Roman" w:cs="Times New Roman"/>
                <w:color w:val="000000"/>
                <w:kern w:val="0"/>
                <w:sz w:val="24"/>
                <w:highlight w:val="none"/>
                <w:lang w:val="en-US" w:eastAsia="zh-CN" w:bidi="ar"/>
              </w:rPr>
              <w:t>8</w:t>
            </w:r>
            <w:r>
              <w:rPr>
                <w:rFonts w:hint="default" w:ascii="Times New Roman" w:hAnsi="Times New Roman" w:cs="Times New Roman"/>
                <w:color w:val="000000"/>
                <w:kern w:val="0"/>
                <w:sz w:val="24"/>
                <w:highlight w:val="none"/>
                <w:lang w:bidi="ar"/>
              </w:rPr>
              <w:t>分。</w:t>
            </w:r>
          </w:p>
          <w:p>
            <w:pPr>
              <w:widowControl/>
              <w:jc w:val="left"/>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2.</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val="en-US" w:eastAsia="zh-CN" w:bidi="ar"/>
              </w:rPr>
              <w:t>需确保本项目生产的地震监测数据</w:t>
            </w:r>
            <w:r>
              <w:rPr>
                <w:rFonts w:hint="default" w:ascii="Times New Roman" w:hAnsi="Times New Roman" w:cs="Times New Roman"/>
                <w:color w:val="000000"/>
                <w:kern w:val="0"/>
                <w:sz w:val="24"/>
                <w:highlight w:val="none"/>
                <w:lang w:bidi="ar"/>
              </w:rPr>
              <w:t>能接入广东省地震台网，实现数据共享及互联互通，并提供相关证明材料，得1</w:t>
            </w:r>
            <w:r>
              <w:rPr>
                <w:rFonts w:hint="default" w:ascii="Times New Roman" w:hAnsi="Times New Roman" w:cs="Times New Roman"/>
                <w:color w:val="000000"/>
                <w:kern w:val="0"/>
                <w:sz w:val="24"/>
                <w:highlight w:val="none"/>
                <w:lang w:val="en-US" w:eastAsia="zh-CN" w:bidi="ar"/>
              </w:rPr>
              <w:t>1</w:t>
            </w:r>
            <w:r>
              <w:rPr>
                <w:rFonts w:hint="default" w:ascii="Times New Roman" w:hAnsi="Times New Roman" w:cs="Times New Roman"/>
                <w:color w:val="000000"/>
                <w:kern w:val="0"/>
                <w:sz w:val="24"/>
                <w:highlight w:val="none"/>
                <w:lang w:bidi="ar"/>
              </w:rPr>
              <w:t>分，此项最高得1</w:t>
            </w:r>
            <w:r>
              <w:rPr>
                <w:rFonts w:hint="default" w:ascii="Times New Roman" w:hAnsi="Times New Roman" w:cs="Times New Roman"/>
                <w:color w:val="000000"/>
                <w:kern w:val="0"/>
                <w:sz w:val="24"/>
                <w:highlight w:val="none"/>
                <w:lang w:val="en-US" w:eastAsia="zh-CN" w:bidi="ar"/>
              </w:rPr>
              <w:t>1</w:t>
            </w:r>
            <w:r>
              <w:rPr>
                <w:rFonts w:hint="default" w:ascii="Times New Roman" w:hAnsi="Times New Roman" w:cs="Times New Roman"/>
                <w:color w:val="000000"/>
                <w:kern w:val="0"/>
                <w:sz w:val="24"/>
                <w:highlight w:val="none"/>
                <w:lang w:bidi="ar"/>
              </w:rPr>
              <w:t>分。</w:t>
            </w:r>
          </w:p>
          <w:p>
            <w:pPr>
              <w:pStyle w:val="2"/>
              <w:ind w:firstLine="0"/>
              <w:rPr>
                <w:rFonts w:hint="default" w:ascii="Times New Roman" w:hAnsi="Times New Roman" w:cs="Times New Roman"/>
                <w:highlight w:val="none"/>
                <w:lang w:bidi="ar"/>
              </w:rPr>
            </w:pPr>
            <w:r>
              <w:rPr>
                <w:rFonts w:hint="default" w:ascii="Times New Roman" w:hAnsi="Times New Roman" w:cs="Times New Roman"/>
                <w:color w:val="000000"/>
                <w:kern w:val="0"/>
                <w:sz w:val="24"/>
                <w:highlight w:val="none"/>
                <w:lang w:bidi="ar"/>
              </w:rPr>
              <w:t>3.</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取得地震台网数据处理软件系统合法使用权的，并提供相关证明材料，得3分。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注：提供上述对应评分标准的用户评价报告、台网接入证明文件、软件合法使用权证明材料的扫描件，并加盖供应商公章作为证明材料，不提供不得分。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kern w:val="0"/>
                <w:sz w:val="24"/>
                <w:highlight w:val="none"/>
                <w:lang w:bidi="ar"/>
              </w:rPr>
              <w:t>2</w:t>
            </w:r>
            <w:r>
              <w:rPr>
                <w:rFonts w:hint="default" w:ascii="Times New Roman" w:hAnsi="Times New Roman" w:cs="Times New Roman"/>
                <w:color w:val="000000"/>
                <w:kern w:val="0"/>
                <w:sz w:val="24"/>
                <w:highlight w:val="none"/>
                <w:lang w:val="en-US" w:eastAsia="zh-CN" w:bidi="ar"/>
              </w:rPr>
              <w:t>2</w:t>
            </w:r>
          </w:p>
        </w:tc>
      </w:tr>
      <w:tr>
        <w:tblPrEx>
          <w:tblCellMar>
            <w:top w:w="0" w:type="dxa"/>
            <w:left w:w="108" w:type="dxa"/>
            <w:bottom w:w="0" w:type="dxa"/>
            <w:right w:w="108" w:type="dxa"/>
          </w:tblCellMar>
        </w:tblPrEx>
        <w:trPr>
          <w:trHeight w:val="354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同类业绩</w:t>
            </w:r>
          </w:p>
        </w:tc>
        <w:tc>
          <w:tcPr>
            <w:tcW w:w="3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1.具备卫星定位系统监测网络联测工程（合同内容应包含流动观测站和基准站）的业绩经验，提供自2020年1月1日以来（以合同签订日期为准），以</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名义独立完成的业绩证明，得12分，本项最高得12分。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2.具备地壳观测网络GNSS站点运行维护的业绩经验，提供自2020年1月1日以来（以合同签订日期为准），以</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名义独立完成的业绩证明，得12分，本项最高得12分。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注：每份业绩证明材料均须提供中标通知书（或成交通知书）或合同扫描件，并加盖供应商公章，未提供材料或无法辨别的材料均不得分。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24</w:t>
            </w:r>
          </w:p>
        </w:tc>
      </w:tr>
      <w:tr>
        <w:tblPrEx>
          <w:tblCellMar>
            <w:top w:w="0" w:type="dxa"/>
            <w:left w:w="108" w:type="dxa"/>
            <w:bottom w:w="0" w:type="dxa"/>
            <w:right w:w="108" w:type="dxa"/>
          </w:tblCellMar>
        </w:tblPrEx>
        <w:trPr>
          <w:trHeight w:val="3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4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60</w:t>
            </w:r>
          </w:p>
        </w:tc>
      </w:tr>
      <w:tr>
        <w:tblPrEx>
          <w:tblCellMar>
            <w:top w:w="0" w:type="dxa"/>
            <w:left w:w="108" w:type="dxa"/>
            <w:bottom w:w="0" w:type="dxa"/>
            <w:right w:w="108" w:type="dxa"/>
          </w:tblCellMar>
        </w:tblPrEx>
        <w:trPr>
          <w:trHeight w:val="630"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kern w:val="0"/>
                <w:sz w:val="24"/>
                <w:highlight w:val="none"/>
                <w:lang w:bidi="ar"/>
              </w:rPr>
            </w:pPr>
          </w:p>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技术部分</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项目的理解程度</w:t>
            </w:r>
          </w:p>
        </w:tc>
        <w:tc>
          <w:tcPr>
            <w:tcW w:w="3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根据</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提交的相关方案报告对本项目的工作内容及任务、重点难点等的理解程度进行评审：</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1.</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对本项目的工作内容及任务理解、分析透彻，充分了解项目站点现状并进行针对性的重点难点分析，得12分；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2.</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对本项目的工作内容及任务有一定的理解、分析，对项目站点现状和重点难点有一定的了解，得6分；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3.</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对本项目的工作内容及任务理解、分析不到位，不了解项目站点现状和重点难点等，不得分。</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12</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16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63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组织机构、专业分工、进度计划及实施方案</w:t>
            </w:r>
          </w:p>
        </w:tc>
        <w:tc>
          <w:tcPr>
            <w:tcW w:w="3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根据</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提供的组织机构、专业分工、进度计划及实施方案（包括但不限于组织机构设置、专业分工安排等）进行评审：</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1.为项目组建的团队的组织机构完善，专业分工明确合理，全方位有效应对测量过程中可能遇到的各种问题，实施方案及计划全面完整，充分考虑了站点地理位置及交通条件，具有针对性及可行性，得7分；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2.为项目组建的团队的组织机构具有一定的合理性，专业分工合理，可应对测量过程中可能遇到的问题，得3分；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3.为项目组建的团队的组织机构一般，专业分工不够明确，不能应对测量过程中可能遇到的问题，提供的实施方案及计划不够完整，针对性差，不得分。</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7</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232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服务方案</w:t>
            </w:r>
          </w:p>
        </w:tc>
        <w:tc>
          <w:tcPr>
            <w:tcW w:w="3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根据</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提交的相关方案报告对技术服务人员配备情况、服务响应情况等进行评审：</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1.服务方案完整，考虑全面，不漏项，充分考虑用户需求，针对性及可行性很高，服务能力卓越，技术服务人员配备合理，完美地响应服务需求，可以很好地履行服务质量承诺，得6分；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2.服务方案比较完整，方案考虑较为全面，基本不漏项，具有一定的针对性及可行性，服务方案较合理、较切实可行，技术服务人员配备较为合理，有一定的服务响应保障，可以满足响应服务需求，得3分；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3.服务方案不够完整，不够周全，针对性不强，可行性一般，技术服务能力薄弱，技术服务人员配备与本项目关联性不强，人员配备基欠缺，响应服务需一般，不得分。</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6</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256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突发事件处理措施和应急预案</w:t>
            </w:r>
          </w:p>
        </w:tc>
        <w:tc>
          <w:tcPr>
            <w:tcW w:w="3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根据</w:t>
            </w:r>
            <w:r>
              <w:rPr>
                <w:rFonts w:hint="default" w:ascii="Times New Roman" w:hAnsi="Times New Roman" w:cs="Times New Roman"/>
                <w:color w:val="000000"/>
                <w:kern w:val="0"/>
                <w:sz w:val="24"/>
                <w:highlight w:val="none"/>
                <w:lang w:eastAsia="zh-CN" w:bidi="ar"/>
              </w:rPr>
              <w:t>供应商</w:t>
            </w:r>
            <w:r>
              <w:rPr>
                <w:rFonts w:hint="default" w:ascii="Times New Roman" w:hAnsi="Times New Roman" w:cs="Times New Roman"/>
                <w:color w:val="000000"/>
                <w:kern w:val="0"/>
                <w:sz w:val="24"/>
                <w:highlight w:val="none"/>
                <w:lang w:bidi="ar"/>
              </w:rPr>
              <w:t>提供的突发事件（包括但不限于设备突发故障、不可抗力引起的设备损坏或故障等）处理措施和应急预案进行评审：</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1.突发事件响应的处理措施和应急预案详细、合理，得5分；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2.突发事件响应的处理措施和应急预案较为详细，具有较强的可实施性，得3分；</w:t>
            </w:r>
            <w:r>
              <w:rPr>
                <w:rFonts w:hint="default" w:ascii="Times New Roman" w:hAnsi="Times New Roman" w:cs="Times New Roman"/>
                <w:color w:val="000000"/>
                <w:kern w:val="0"/>
                <w:sz w:val="24"/>
                <w:highlight w:val="none"/>
                <w:lang w:bidi="ar"/>
              </w:rPr>
              <w:br w:type="textWrapping"/>
            </w:r>
            <w:r>
              <w:rPr>
                <w:rFonts w:hint="default" w:ascii="Times New Roman" w:hAnsi="Times New Roman" w:cs="Times New Roman"/>
                <w:color w:val="000000"/>
                <w:kern w:val="0"/>
                <w:sz w:val="24"/>
                <w:highlight w:val="none"/>
                <w:lang w:bidi="ar"/>
              </w:rPr>
              <w:t>3.突发事件响应的处理措施和应急预案不够完善，不得分。</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5</w:t>
            </w: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1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18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c>
          <w:tcPr>
            <w:tcW w:w="3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highlight w:val="none"/>
              </w:rPr>
            </w:pPr>
          </w:p>
        </w:tc>
      </w:tr>
      <w:tr>
        <w:tblPrEx>
          <w:tblCellMar>
            <w:top w:w="0" w:type="dxa"/>
            <w:left w:w="108" w:type="dxa"/>
            <w:bottom w:w="0" w:type="dxa"/>
            <w:right w:w="108" w:type="dxa"/>
          </w:tblCellMar>
        </w:tblPrEx>
        <w:trPr>
          <w:trHeight w:val="3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b/>
                <w:bCs/>
                <w:color w:val="000000"/>
                <w:sz w:val="24"/>
                <w:highlight w:val="none"/>
              </w:rPr>
            </w:pPr>
          </w:p>
        </w:tc>
        <w:tc>
          <w:tcPr>
            <w:tcW w:w="4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30</w:t>
            </w:r>
          </w:p>
        </w:tc>
      </w:tr>
      <w:tr>
        <w:tblPrEx>
          <w:tblCellMar>
            <w:top w:w="0" w:type="dxa"/>
            <w:left w:w="108" w:type="dxa"/>
            <w:bottom w:w="0" w:type="dxa"/>
            <w:right w:w="108" w:type="dxa"/>
          </w:tblCellMar>
        </w:tblPrEx>
        <w:trPr>
          <w:trHeight w:val="600"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报价部分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合同价格</w:t>
            </w:r>
          </w:p>
        </w:tc>
        <w:tc>
          <w:tcPr>
            <w:tcW w:w="3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报价得分＝（1-|平均报价-此次报价|/平均报价）×价格分值</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10</w:t>
            </w:r>
          </w:p>
        </w:tc>
      </w:tr>
      <w:tr>
        <w:tblPrEx>
          <w:tblCellMar>
            <w:top w:w="0" w:type="dxa"/>
            <w:left w:w="108" w:type="dxa"/>
            <w:bottom w:w="0" w:type="dxa"/>
            <w:right w:w="108" w:type="dxa"/>
          </w:tblCellMar>
        </w:tblPrEx>
        <w:trPr>
          <w:trHeight w:val="3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bCs/>
                <w:color w:val="000000"/>
                <w:sz w:val="24"/>
                <w:highlight w:val="none"/>
              </w:rPr>
            </w:pPr>
          </w:p>
        </w:tc>
        <w:tc>
          <w:tcPr>
            <w:tcW w:w="4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10</w:t>
            </w:r>
          </w:p>
        </w:tc>
      </w:tr>
      <w:tr>
        <w:tblPrEx>
          <w:tblCellMar>
            <w:top w:w="0" w:type="dxa"/>
            <w:left w:w="108" w:type="dxa"/>
            <w:bottom w:w="0" w:type="dxa"/>
            <w:right w:w="108" w:type="dxa"/>
          </w:tblCellMar>
        </w:tblPrEx>
        <w:trPr>
          <w:trHeight w:val="300" w:hRule="atLeast"/>
        </w:trPr>
        <w:tc>
          <w:tcPr>
            <w:tcW w:w="45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总分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b/>
                <w:bCs/>
                <w:color w:val="000000"/>
                <w:sz w:val="24"/>
                <w:highlight w:val="none"/>
              </w:rPr>
            </w:pPr>
            <w:r>
              <w:rPr>
                <w:rFonts w:hint="default" w:ascii="Times New Roman" w:hAnsi="Times New Roman" w:cs="Times New Roman"/>
                <w:b/>
                <w:bCs/>
                <w:color w:val="000000"/>
                <w:kern w:val="0"/>
                <w:sz w:val="24"/>
                <w:highlight w:val="none"/>
                <w:lang w:bidi="ar"/>
              </w:rPr>
              <w:t>100</w:t>
            </w:r>
          </w:p>
        </w:tc>
      </w:tr>
    </w:tbl>
    <w:p>
      <w:pPr>
        <w:spacing w:line="560" w:lineRule="exact"/>
        <w:ind w:firstLine="686" w:firstLineChars="245"/>
        <w:rPr>
          <w:rFonts w:hint="default" w:ascii="Times New Roman" w:hAnsi="Times New Roman" w:eastAsia="仿宋_GB2312" w:cs="Times New Roman"/>
          <w:sz w:val="28"/>
          <w:szCs w:val="28"/>
          <w:highlight w:val="none"/>
        </w:rPr>
      </w:pPr>
    </w:p>
    <w:p>
      <w:pPr>
        <w:numPr>
          <w:ilvl w:val="255"/>
          <w:numId w:val="0"/>
        </w:numPr>
        <w:snapToGrid w:val="0"/>
        <w:spacing w:line="360" w:lineRule="auto"/>
        <w:rPr>
          <w:rFonts w:hint="default" w:ascii="Times New Roman" w:hAnsi="Times New Roman" w:cs="Times New Roman" w:eastAsiaTheme="majorEastAsia"/>
          <w:b/>
          <w:bCs/>
          <w:sz w:val="28"/>
          <w:szCs w:val="28"/>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4500" w:firstLineChars="25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Style w:val="24"/>
                            </w:rPr>
                          </w:pPr>
                          <w:r>
                            <w:fldChar w:fldCharType="begin"/>
                          </w:r>
                          <w:r>
                            <w:rPr>
                              <w:rStyle w:val="24"/>
                            </w:rPr>
                            <w:instrText xml:space="preserve">PAGE  </w:instrText>
                          </w:r>
                          <w:r>
                            <w:fldChar w:fldCharType="separate"/>
                          </w:r>
                          <w:r>
                            <w:rPr>
                              <w:rStyle w:val="24"/>
                            </w:rPr>
                            <w:t>39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GNSmEcABAACEAwAADgAAAAAAAAABACAAAAAfAQAAZHJzL2Uyb0RvYy54bWxQSwUG&#10;AAAAAAYABgBZAQAAUQUAAAAA&#10;">
              <v:fill on="f" focussize="0,0"/>
              <v:stroke on="f"/>
              <v:imagedata o:title=""/>
              <o:lock v:ext="edit" aspectratio="f"/>
              <v:textbox inset="0mm,0mm,0mm,0mm" style="mso-fit-shape-to-text:t;">
                <w:txbxContent>
                  <w:p>
                    <w:pPr>
                      <w:pStyle w:val="15"/>
                      <w:rPr>
                        <w:rStyle w:val="24"/>
                      </w:rPr>
                    </w:pPr>
                    <w:r>
                      <w:fldChar w:fldCharType="begin"/>
                    </w:r>
                    <w:r>
                      <w:rPr>
                        <w:rStyle w:val="24"/>
                      </w:rPr>
                      <w:instrText xml:space="preserve">PAGE  </w:instrText>
                    </w:r>
                    <w:r>
                      <w:fldChar w:fldCharType="separate"/>
                    </w:r>
                    <w:r>
                      <w:rPr>
                        <w:rStyle w:val="24"/>
                      </w:rPr>
                      <w:t>39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7559F"/>
    <w:multiLevelType w:val="multilevel"/>
    <w:tmpl w:val="4427559F"/>
    <w:lvl w:ilvl="0" w:tentative="0">
      <w:start w:val="1"/>
      <w:numFmt w:val="chineseCountingThousand"/>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284" w:firstLine="0"/>
      </w:pPr>
      <w:rPr>
        <w:rFonts w:hint="eastAsia"/>
      </w:rPr>
    </w:lvl>
    <w:lvl w:ilvl="2" w:tentative="0">
      <w:start w:val="1"/>
      <w:numFmt w:val="decimal"/>
      <w:lvlText w:val="%3、"/>
      <w:lvlJc w:val="left"/>
      <w:pPr>
        <w:ind w:left="992" w:hanging="567"/>
      </w:pPr>
      <w:rPr>
        <w:rFonts w:hint="eastAsia"/>
      </w:rPr>
    </w:lvl>
    <w:lvl w:ilvl="3" w:tentative="0">
      <w:start w:val="1"/>
      <w:numFmt w:val="decimal"/>
      <w:lvlText w:val="%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jRjNDFjZmU4ZmMzNDUzNjg1Njc0OTYxYWQyNzYifQ=="/>
  </w:docVars>
  <w:rsids>
    <w:rsidRoot w:val="765F3543"/>
    <w:rsid w:val="000A2F9C"/>
    <w:rsid w:val="001E6288"/>
    <w:rsid w:val="00222933"/>
    <w:rsid w:val="00240595"/>
    <w:rsid w:val="002B2F14"/>
    <w:rsid w:val="003B4FD5"/>
    <w:rsid w:val="00423FDB"/>
    <w:rsid w:val="00565B7C"/>
    <w:rsid w:val="005B022E"/>
    <w:rsid w:val="00607C2F"/>
    <w:rsid w:val="00694E2C"/>
    <w:rsid w:val="007237D2"/>
    <w:rsid w:val="008C0C96"/>
    <w:rsid w:val="008E2D5A"/>
    <w:rsid w:val="008F645C"/>
    <w:rsid w:val="00920D80"/>
    <w:rsid w:val="009E1406"/>
    <w:rsid w:val="00A228B0"/>
    <w:rsid w:val="00A75111"/>
    <w:rsid w:val="00AF43EB"/>
    <w:rsid w:val="00AF491F"/>
    <w:rsid w:val="00B43788"/>
    <w:rsid w:val="00B46018"/>
    <w:rsid w:val="00BD673A"/>
    <w:rsid w:val="00BD71A3"/>
    <w:rsid w:val="00CE3594"/>
    <w:rsid w:val="00CF60D1"/>
    <w:rsid w:val="00E42DCE"/>
    <w:rsid w:val="00E8195B"/>
    <w:rsid w:val="00EB5A9F"/>
    <w:rsid w:val="00EF50C4"/>
    <w:rsid w:val="00F05253"/>
    <w:rsid w:val="00FA5927"/>
    <w:rsid w:val="01237E6B"/>
    <w:rsid w:val="012D11FA"/>
    <w:rsid w:val="01501B54"/>
    <w:rsid w:val="029B0DFF"/>
    <w:rsid w:val="03E30E9C"/>
    <w:rsid w:val="049E3C57"/>
    <w:rsid w:val="04D257EB"/>
    <w:rsid w:val="04F335BF"/>
    <w:rsid w:val="06066845"/>
    <w:rsid w:val="063666D1"/>
    <w:rsid w:val="06CF662A"/>
    <w:rsid w:val="07B46C8C"/>
    <w:rsid w:val="08C2670B"/>
    <w:rsid w:val="08FA30DF"/>
    <w:rsid w:val="08FF3B2A"/>
    <w:rsid w:val="09096E52"/>
    <w:rsid w:val="094E1778"/>
    <w:rsid w:val="096176E4"/>
    <w:rsid w:val="09D71C85"/>
    <w:rsid w:val="0A3A3B85"/>
    <w:rsid w:val="0B7E7E10"/>
    <w:rsid w:val="0BE30724"/>
    <w:rsid w:val="0C2F2AB2"/>
    <w:rsid w:val="0CB42FB3"/>
    <w:rsid w:val="0F1727CE"/>
    <w:rsid w:val="0F297E4E"/>
    <w:rsid w:val="10C33B0F"/>
    <w:rsid w:val="11A22AF1"/>
    <w:rsid w:val="11BE5CE9"/>
    <w:rsid w:val="12207EF9"/>
    <w:rsid w:val="12452986"/>
    <w:rsid w:val="147F4B23"/>
    <w:rsid w:val="155B72A2"/>
    <w:rsid w:val="15B067C7"/>
    <w:rsid w:val="174D6BC3"/>
    <w:rsid w:val="17C23687"/>
    <w:rsid w:val="18050F55"/>
    <w:rsid w:val="186E10C6"/>
    <w:rsid w:val="1A0A3F36"/>
    <w:rsid w:val="1A966217"/>
    <w:rsid w:val="1BB7118B"/>
    <w:rsid w:val="1BE51DF3"/>
    <w:rsid w:val="1C884DFC"/>
    <w:rsid w:val="1D815127"/>
    <w:rsid w:val="1E397E5F"/>
    <w:rsid w:val="1EBD7CFB"/>
    <w:rsid w:val="1EF82BE6"/>
    <w:rsid w:val="1F32342A"/>
    <w:rsid w:val="1FF63592"/>
    <w:rsid w:val="214732E4"/>
    <w:rsid w:val="21A02E73"/>
    <w:rsid w:val="21A3443C"/>
    <w:rsid w:val="22692F4C"/>
    <w:rsid w:val="22E40170"/>
    <w:rsid w:val="23790DD4"/>
    <w:rsid w:val="24513EB3"/>
    <w:rsid w:val="25C565A5"/>
    <w:rsid w:val="26F86D13"/>
    <w:rsid w:val="27E33B42"/>
    <w:rsid w:val="281D1359"/>
    <w:rsid w:val="28C8445B"/>
    <w:rsid w:val="29F7320D"/>
    <w:rsid w:val="2A394F1D"/>
    <w:rsid w:val="2B510EB0"/>
    <w:rsid w:val="2CD70CF0"/>
    <w:rsid w:val="2D0E5941"/>
    <w:rsid w:val="2DB143D8"/>
    <w:rsid w:val="2E5D4A71"/>
    <w:rsid w:val="2EBB77E3"/>
    <w:rsid w:val="2ECA187B"/>
    <w:rsid w:val="2F0552FB"/>
    <w:rsid w:val="2F155C62"/>
    <w:rsid w:val="330E3623"/>
    <w:rsid w:val="338A06D6"/>
    <w:rsid w:val="33A406B7"/>
    <w:rsid w:val="33C43E75"/>
    <w:rsid w:val="33D03323"/>
    <w:rsid w:val="34260F9E"/>
    <w:rsid w:val="346C19AA"/>
    <w:rsid w:val="34A623E4"/>
    <w:rsid w:val="351914C8"/>
    <w:rsid w:val="355C1CF8"/>
    <w:rsid w:val="36F321FD"/>
    <w:rsid w:val="374F08D4"/>
    <w:rsid w:val="39570DCA"/>
    <w:rsid w:val="399D259D"/>
    <w:rsid w:val="3A692476"/>
    <w:rsid w:val="3A6B5BE1"/>
    <w:rsid w:val="3D9077EA"/>
    <w:rsid w:val="3E8C19E7"/>
    <w:rsid w:val="4171511B"/>
    <w:rsid w:val="42E305BF"/>
    <w:rsid w:val="43AF4BAE"/>
    <w:rsid w:val="444D3558"/>
    <w:rsid w:val="44F47C0E"/>
    <w:rsid w:val="45D12D99"/>
    <w:rsid w:val="460B6721"/>
    <w:rsid w:val="463C3C0D"/>
    <w:rsid w:val="465A2C5A"/>
    <w:rsid w:val="472965B9"/>
    <w:rsid w:val="498009B5"/>
    <w:rsid w:val="4C2D4689"/>
    <w:rsid w:val="4D32066F"/>
    <w:rsid w:val="4DFA6ADA"/>
    <w:rsid w:val="4F2B705E"/>
    <w:rsid w:val="4F7D2CF9"/>
    <w:rsid w:val="500D4908"/>
    <w:rsid w:val="50203267"/>
    <w:rsid w:val="513A2E22"/>
    <w:rsid w:val="51937DAA"/>
    <w:rsid w:val="5237584C"/>
    <w:rsid w:val="53127C5D"/>
    <w:rsid w:val="53C214A4"/>
    <w:rsid w:val="55440772"/>
    <w:rsid w:val="561D2B01"/>
    <w:rsid w:val="570C0D53"/>
    <w:rsid w:val="5892505A"/>
    <w:rsid w:val="58CD7AC9"/>
    <w:rsid w:val="5BBA0ED0"/>
    <w:rsid w:val="5BEE06F2"/>
    <w:rsid w:val="5C950094"/>
    <w:rsid w:val="5CD34356"/>
    <w:rsid w:val="5D101956"/>
    <w:rsid w:val="5D4C617C"/>
    <w:rsid w:val="5E700B8C"/>
    <w:rsid w:val="5E973A1B"/>
    <w:rsid w:val="5F9E02F3"/>
    <w:rsid w:val="5FFF230B"/>
    <w:rsid w:val="602C6A46"/>
    <w:rsid w:val="603C61E2"/>
    <w:rsid w:val="60482912"/>
    <w:rsid w:val="617666A5"/>
    <w:rsid w:val="61C12D16"/>
    <w:rsid w:val="61C37357"/>
    <w:rsid w:val="69277FAC"/>
    <w:rsid w:val="693F3EFA"/>
    <w:rsid w:val="6A077828"/>
    <w:rsid w:val="6AE807B5"/>
    <w:rsid w:val="6CA733C5"/>
    <w:rsid w:val="6CB3398E"/>
    <w:rsid w:val="6FC73E3F"/>
    <w:rsid w:val="70325B5A"/>
    <w:rsid w:val="72F363AD"/>
    <w:rsid w:val="742C29DE"/>
    <w:rsid w:val="7464559D"/>
    <w:rsid w:val="749B5EFA"/>
    <w:rsid w:val="74DB2231"/>
    <w:rsid w:val="75A461B9"/>
    <w:rsid w:val="765F3543"/>
    <w:rsid w:val="76CF1238"/>
    <w:rsid w:val="792F12AF"/>
    <w:rsid w:val="7A2B471D"/>
    <w:rsid w:val="7B057101"/>
    <w:rsid w:val="7B165D1B"/>
    <w:rsid w:val="7B670AC2"/>
    <w:rsid w:val="7F6A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黑体"/>
      <w:b/>
      <w:sz w:val="32"/>
      <w:szCs w:val="20"/>
    </w:rPr>
  </w:style>
  <w:style w:type="paragraph" w:styleId="4">
    <w:name w:val="heading 2"/>
    <w:basedOn w:val="1"/>
    <w:next w:val="1"/>
    <w:unhideWhenUsed/>
    <w:qFormat/>
    <w:uiPriority w:val="9"/>
    <w:pPr>
      <w:keepNext/>
      <w:keepLines/>
      <w:numPr>
        <w:ilvl w:val="1"/>
        <w:numId w:val="1"/>
      </w:numPr>
      <w:spacing w:before="240" w:after="120" w:line="360" w:lineRule="auto"/>
      <w:outlineLvl w:val="1"/>
    </w:pPr>
    <w:rPr>
      <w:rFonts w:asciiTheme="majorHAnsi" w:hAnsiTheme="majorHAnsi" w:cstheme="majorBidi"/>
      <w:b/>
      <w:bCs/>
      <w:sz w:val="28"/>
      <w:szCs w:val="32"/>
    </w:rPr>
  </w:style>
  <w:style w:type="paragraph" w:styleId="5">
    <w:name w:val="heading 3"/>
    <w:basedOn w:val="1"/>
    <w:next w:val="1"/>
    <w:qFormat/>
    <w:uiPriority w:val="9"/>
    <w:pPr>
      <w:keepNext/>
      <w:keepLines/>
      <w:spacing w:before="260" w:after="260" w:line="600" w:lineRule="exact"/>
      <w:jc w:val="center"/>
      <w:outlineLvl w:val="2"/>
    </w:pPr>
    <w:rPr>
      <w:rFonts w:eastAsia="仿宋_GB2312"/>
      <w:b/>
      <w:kern w:val="0"/>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annotation text"/>
    <w:basedOn w:val="1"/>
    <w:link w:val="32"/>
    <w:qFormat/>
    <w:uiPriority w:val="0"/>
    <w:pPr>
      <w:jc w:val="left"/>
    </w:pPr>
  </w:style>
  <w:style w:type="paragraph" w:styleId="7">
    <w:name w:val="Body Text"/>
    <w:basedOn w:val="1"/>
    <w:next w:val="1"/>
    <w:qFormat/>
    <w:uiPriority w:val="0"/>
    <w:rPr>
      <w:rFonts w:ascii="Verdana" w:hAnsi="Verdana" w:eastAsia="仿宋_GB2312"/>
      <w:sz w:val="24"/>
      <w:lang w:eastAsia="en-US"/>
    </w:rPr>
  </w:style>
  <w:style w:type="paragraph" w:styleId="8">
    <w:name w:val="Body Text Indent"/>
    <w:basedOn w:val="1"/>
    <w:next w:val="9"/>
    <w:qFormat/>
    <w:uiPriority w:val="0"/>
    <w:pPr>
      <w:ind w:left="480" w:hanging="480" w:hangingChars="200"/>
    </w:pPr>
    <w:rPr>
      <w:sz w:val="24"/>
    </w:rPr>
  </w:style>
  <w:style w:type="paragraph" w:customStyle="1" w:styleId="9">
    <w:name w:val="正文文本首行缩进 21"/>
    <w:basedOn w:val="10"/>
    <w:qFormat/>
    <w:uiPriority w:val="99"/>
    <w:pPr>
      <w:tabs>
        <w:tab w:val="right" w:leader="dot" w:pos="8268"/>
      </w:tabs>
      <w:spacing w:line="200" w:lineRule="atLeast"/>
      <w:ind w:firstLine="420"/>
    </w:pPr>
    <w:rPr>
      <w:rFonts w:hAnsi="Courier New"/>
      <w:spacing w:val="-4"/>
      <w:sz w:val="18"/>
    </w:rPr>
  </w:style>
  <w:style w:type="paragraph" w:customStyle="1" w:styleId="10">
    <w:name w:val="正文缩进1"/>
    <w:basedOn w:val="11"/>
    <w:next w:val="9"/>
    <w:qFormat/>
    <w:uiPriority w:val="0"/>
    <w:pPr>
      <w:autoSpaceDE w:val="0"/>
      <w:autoSpaceDN w:val="0"/>
      <w:adjustRightInd w:val="0"/>
      <w:snapToGrid w:val="0"/>
      <w:spacing w:after="120"/>
      <w:ind w:left="420" w:leftChars="200" w:firstLine="480" w:firstLineChars="200"/>
    </w:pPr>
    <w:rPr>
      <w:sz w:val="24"/>
      <w:szCs w:val="21"/>
    </w:rPr>
  </w:style>
  <w:style w:type="paragraph" w:customStyle="1" w:styleId="11">
    <w:name w:val="正文1"/>
    <w:basedOn w:val="12"/>
    <w:next w:val="13"/>
    <w:qFormat/>
    <w:uiPriority w:val="0"/>
    <w:pPr>
      <w:widowControl/>
      <w:spacing w:line="360" w:lineRule="auto"/>
      <w:ind w:left="360" w:firstLine="420"/>
      <w:jc w:val="left"/>
    </w:pPr>
    <w:rPr>
      <w:rFonts w:ascii="宋体" w:hAnsi="宋体" w:cs="宋体"/>
      <w:kern w:val="0"/>
      <w:szCs w:val="20"/>
    </w:rPr>
  </w:style>
  <w:style w:type="paragraph" w:styleId="12">
    <w:name w:val="toc 3"/>
    <w:basedOn w:val="1"/>
    <w:next w:val="1"/>
    <w:qFormat/>
    <w:uiPriority w:val="0"/>
    <w:pPr>
      <w:ind w:left="840" w:leftChars="400"/>
    </w:pPr>
  </w:style>
  <w:style w:type="paragraph" w:customStyle="1" w:styleId="13">
    <w:name w:val="标题 21"/>
    <w:basedOn w:val="11"/>
    <w:next w:val="11"/>
    <w:qFormat/>
    <w:uiPriority w:val="0"/>
    <w:pPr>
      <w:keepNext/>
      <w:keepLines/>
      <w:tabs>
        <w:tab w:val="left" w:pos="706"/>
      </w:tabs>
      <w:ind w:left="106" w:firstLine="454"/>
      <w:outlineLvl w:val="1"/>
    </w:pPr>
    <w:rPr>
      <w:rFonts w:ascii="Arial" w:hAnsi="Arial" w:eastAsia="??"/>
      <w:b/>
      <w:bCs/>
      <w:szCs w:val="32"/>
    </w:rPr>
  </w:style>
  <w:style w:type="paragraph" w:styleId="14">
    <w:name w:val="Plain Text"/>
    <w:basedOn w:val="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6"/>
    <w:next w:val="6"/>
    <w:link w:val="33"/>
    <w:qFormat/>
    <w:uiPriority w:val="0"/>
    <w:rPr>
      <w:b/>
      <w:bCs/>
    </w:rPr>
  </w:style>
  <w:style w:type="paragraph" w:styleId="19">
    <w:name w:val="Body Text First Indent 2"/>
    <w:basedOn w:val="8"/>
    <w:qFormat/>
    <w:uiPriority w:val="0"/>
    <w:pPr>
      <w:spacing w:after="120"/>
      <w:ind w:left="420" w:leftChars="200" w:firstLine="420"/>
    </w:pPr>
    <w:rPr>
      <w:rFonts w:cs="宋体"/>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annotation reference"/>
    <w:basedOn w:val="22"/>
    <w:qFormat/>
    <w:uiPriority w:val="0"/>
    <w:rPr>
      <w:sz w:val="21"/>
      <w:szCs w:val="21"/>
    </w:rPr>
  </w:style>
  <w:style w:type="paragraph" w:customStyle="1" w:styleId="26">
    <w:name w:val="标题 3.1"/>
    <w:basedOn w:val="5"/>
    <w:qFormat/>
    <w:uiPriority w:val="0"/>
    <w:pPr>
      <w:tabs>
        <w:tab w:val="left" w:pos="1440"/>
        <w:tab w:val="left" w:pos="1620"/>
      </w:tabs>
      <w:jc w:val="both"/>
    </w:pPr>
    <w:rPr>
      <w:rFonts w:ascii="宋体" w:hAnsi="宋体" w:eastAsia="宋体"/>
      <w:color w:val="FF0000"/>
    </w:rPr>
  </w:style>
  <w:style w:type="paragraph" w:customStyle="1" w:styleId="2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段落"/>
    <w:basedOn w:val="1"/>
    <w:qFormat/>
    <w:uiPriority w:val="0"/>
    <w:pPr>
      <w:spacing w:before="25" w:beforeLines="25" w:after="25" w:afterLines="25" w:line="360" w:lineRule="auto"/>
      <w:ind w:firstLine="200" w:firstLineChars="200"/>
    </w:pPr>
  </w:style>
  <w:style w:type="paragraph" w:styleId="29">
    <w:name w:val="List Paragraph"/>
    <w:basedOn w:val="1"/>
    <w:qFormat/>
    <w:uiPriority w:val="34"/>
    <w:pPr>
      <w:ind w:firstLine="420" w:firstLineChars="200"/>
    </w:pPr>
  </w:style>
  <w:style w:type="paragraph" w:customStyle="1" w:styleId="30">
    <w:name w:val="样式1"/>
    <w:basedOn w:val="1"/>
    <w:qFormat/>
    <w:uiPriority w:val="0"/>
    <w:pPr>
      <w:autoSpaceDE w:val="0"/>
      <w:autoSpaceDN w:val="0"/>
      <w:adjustRightInd w:val="0"/>
      <w:spacing w:line="400" w:lineRule="exact"/>
    </w:pPr>
    <w:rPr>
      <w:rFonts w:ascii="宋体" w:cs="宋体"/>
      <w:kern w:val="0"/>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2">
    <w:name w:val="批注文字 字符"/>
    <w:basedOn w:val="22"/>
    <w:link w:val="6"/>
    <w:qFormat/>
    <w:uiPriority w:val="0"/>
    <w:rPr>
      <w:kern w:val="2"/>
      <w:sz w:val="21"/>
      <w:szCs w:val="24"/>
    </w:rPr>
  </w:style>
  <w:style w:type="character" w:customStyle="1" w:styleId="33">
    <w:name w:val="批注主题 字符"/>
    <w:basedOn w:val="32"/>
    <w:link w:val="18"/>
    <w:qFormat/>
    <w:uiPriority w:val="0"/>
    <w:rPr>
      <w:b/>
      <w:bCs/>
      <w:kern w:val="2"/>
      <w:sz w:val="21"/>
      <w:szCs w:val="24"/>
    </w:rPr>
  </w:style>
  <w:style w:type="character" w:customStyle="1" w:styleId="34">
    <w:name w:val="font61"/>
    <w:basedOn w:val="22"/>
    <w:qFormat/>
    <w:uiPriority w:val="0"/>
    <w:rPr>
      <w:rFonts w:hint="default" w:ascii="Times New Roman" w:hAnsi="Times New Roman" w:cs="Times New Roman"/>
      <w:color w:val="000000"/>
      <w:sz w:val="21"/>
      <w:szCs w:val="21"/>
      <w:u w:val="none"/>
    </w:rPr>
  </w:style>
  <w:style w:type="character" w:customStyle="1" w:styleId="35">
    <w:name w:val="font41"/>
    <w:basedOn w:val="22"/>
    <w:qFormat/>
    <w:uiPriority w:val="0"/>
    <w:rPr>
      <w:rFonts w:hint="eastAsia" w:ascii="宋体" w:hAnsi="宋体" w:eastAsia="宋体" w:cs="宋体"/>
      <w:color w:val="000000"/>
      <w:sz w:val="21"/>
      <w:szCs w:val="21"/>
      <w:u w:val="none"/>
    </w:rPr>
  </w:style>
  <w:style w:type="character" w:customStyle="1" w:styleId="36">
    <w:name w:val="页眉 字符"/>
    <w:basedOn w:val="22"/>
    <w:link w:val="16"/>
    <w:qFormat/>
    <w:uiPriority w:val="0"/>
    <w:rPr>
      <w:kern w:val="2"/>
      <w:sz w:val="18"/>
      <w:szCs w:val="18"/>
    </w:rPr>
  </w:style>
  <w:style w:type="paragraph" w:customStyle="1" w:styleId="3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341</Words>
  <Characters>1948</Characters>
  <Lines>16</Lines>
  <Paragraphs>4</Paragraphs>
  <TotalTime>28</TotalTime>
  <ScaleCrop>false</ScaleCrop>
  <LinksUpToDate>false</LinksUpToDate>
  <CharactersWithSpaces>2285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2025-06-18T09:20:00Z</dcterms:created>
  <dc:creator>晓江</dc:creator>
  <cp:lastModifiedBy>杨彩玉</cp:lastModifiedBy>
  <cp:lastPrinted>2025-08-14T00:50:00Z</cp:lastPrinted>
  <dcterms:modified xsi:type="dcterms:W3CDTF">2025-08-29T07:34:27Z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F4C4BFE6B2834AE4BDB268D6E012D870_13</vt:lpwstr>
  </property>
  <property fmtid="{D5CDD505-2E9C-101B-9397-08002B2CF9AE}" pid="4" name="KSOTemplateDocerSaveRecord">
    <vt:lpwstr>eyJoZGlkIjoiZjdkMWU1MTdiMzg3ZjdkMDBiMzRlMWEzNDQ4MWU1NTMiLCJ1c2VySWQiOiIzMjk2MzQ5MTQifQ==</vt:lpwstr>
  </property>
</Properties>
</file>