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AAF4">
      <w:pPr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bookmarkStart w:id="7" w:name="_GoBack"/>
      <w:bookmarkEnd w:id="7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附件2</w:t>
      </w:r>
    </w:p>
    <w:p w14:paraId="361793BC">
      <w:pPr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</w:p>
    <w:p w14:paraId="3794D45A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项目车位、车库有关情况</w:t>
      </w:r>
    </w:p>
    <w:p w14:paraId="0E0EBBCF">
      <w:pPr>
        <w:widowControl/>
        <w:spacing w:line="560" w:lineRule="exact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（示范文本）</w:t>
      </w:r>
    </w:p>
    <w:p w14:paraId="0C96CE47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144089C8">
      <w:pPr>
        <w:numPr>
          <w:ilvl w:val="0"/>
          <w:numId w:val="1"/>
        </w:num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项目车位、车库规划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 w14:paraId="67021288">
      <w:pPr>
        <w:numPr>
          <w:ilvl w:val="0"/>
          <w:numId w:val="2"/>
        </w:numPr>
        <w:suppressAutoHyphens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车位、车库规划配置情况</w:t>
      </w:r>
    </w:p>
    <w:p w14:paraId="30B7EF02">
      <w:pPr>
        <w:suppressAutoHyphens/>
        <w:spacing w:line="60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住宅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用途房屋</w:t>
      </w:r>
      <w:r>
        <w:rPr>
          <w:rFonts w:hint="eastAsia" w:ascii="仿宋_GB2312" w:hAnsi="仿宋_GB2312" w:eastAsia="仿宋_GB2312" w:cs="仿宋_GB2312"/>
          <w:sz w:val="32"/>
          <w:szCs w:val="32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bookmarkStart w:id="0" w:name="OLE_LINK4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个；</w:t>
      </w:r>
    </w:p>
    <w:p w14:paraId="5BC56FB4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商业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用途房屋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795FE73B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3.办公用途房屋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个；</w:t>
      </w:r>
    </w:p>
    <w:p w14:paraId="3595A1FF"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4.其他用途房屋计容建筑面积</w:t>
      </w:r>
      <w:bookmarkStart w:id="1" w:name="OLE_LINK1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个。</w:t>
      </w:r>
    </w:p>
    <w:p w14:paraId="02797D17">
      <w:pPr>
        <w:widowControl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车位、车库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数量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/>
        </w:rPr>
        <w:t>、位置及权属情况</w:t>
      </w:r>
    </w:p>
    <w:p w14:paraId="03252F3F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2" w:name="OLE_LINK12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本项目规划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用于停放汽车的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车位、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车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库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个，包括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，主要分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地下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，主要分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bookmarkStart w:id="3" w:name="OLE_LINK5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，其中产权车位、车库约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个</w:t>
      </w:r>
      <w:bookmarkEnd w:id="3"/>
      <w:r>
        <w:rPr>
          <w:rFonts w:hint="eastAsia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本项目车位、车库具体规划情况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详见项目规划总平面图及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地下室平面图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附件1、附件2，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图纸内清晰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标注各类型车位、车库所在位置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。以上信息依据现有规划方案统计得出，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受实际开发建设影响，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车位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  <w:lang w:val="en-US" w:eastAsia="zh-CN"/>
        </w:rPr>
        <w:t>车库具体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数量、分布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  <w:lang w:val="en-US" w:eastAsia="zh-CN"/>
        </w:rPr>
        <w:t>产权等情况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与以上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信息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可能存在一定差异，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最终以规划核实及权属登记情况为准。</w:t>
      </w:r>
    </w:p>
    <w:bookmarkEnd w:id="2"/>
    <w:p w14:paraId="45C8EA23">
      <w:p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default" w:ascii="黑体" w:hAnsi="黑体" w:eastAsia="黑体" w:cs="黑体"/>
          <w:sz w:val="32"/>
          <w:szCs w:val="32"/>
        </w:rPr>
        <w:t>、停放服务收费标准</w:t>
      </w:r>
    </w:p>
    <w:p w14:paraId="1D7D59FD">
      <w:pPr>
        <w:widowControl w:val="0"/>
        <w:numPr>
          <w:ilvl w:val="0"/>
          <w:numId w:val="0"/>
        </w:numPr>
        <w:suppressAutoHyphens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4" w:name="OLE_LINK14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本项目机动车停放服务收费按东莞市现行政策实行市场调节价，目前收费标准如下：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2680"/>
        <w:gridCol w:w="3387"/>
      </w:tblGrid>
      <w:tr w14:paraId="2832C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 w14:paraId="3AD83D1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方式</w:t>
            </w:r>
          </w:p>
        </w:tc>
        <w:tc>
          <w:tcPr>
            <w:tcW w:w="2680" w:type="dxa"/>
          </w:tcPr>
          <w:p w14:paraId="70861C5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3387" w:type="dxa"/>
          </w:tcPr>
          <w:p w14:paraId="0B1F1519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收费标准（单位：元）</w:t>
            </w:r>
          </w:p>
        </w:tc>
      </w:tr>
      <w:tr w14:paraId="06D7C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 w14:paraId="32EC02C6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年租</w:t>
            </w:r>
          </w:p>
        </w:tc>
        <w:tc>
          <w:tcPr>
            <w:tcW w:w="2680" w:type="dxa"/>
          </w:tcPr>
          <w:p w14:paraId="1359CBF0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辆/年</w:t>
            </w:r>
          </w:p>
        </w:tc>
        <w:tc>
          <w:tcPr>
            <w:tcW w:w="3387" w:type="dxa"/>
          </w:tcPr>
          <w:p w14:paraId="6E878F4F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 w14:paraId="7EA50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 w14:paraId="3189D35E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月租</w:t>
            </w:r>
          </w:p>
        </w:tc>
        <w:tc>
          <w:tcPr>
            <w:tcW w:w="2680" w:type="dxa"/>
          </w:tcPr>
          <w:p w14:paraId="22A2D434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辆/月</w:t>
            </w:r>
          </w:p>
        </w:tc>
        <w:tc>
          <w:tcPr>
            <w:tcW w:w="3387" w:type="dxa"/>
          </w:tcPr>
          <w:p w14:paraId="2C499895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 w14:paraId="11CDD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 w14:paraId="300230F4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临时出租</w:t>
            </w:r>
          </w:p>
        </w:tc>
        <w:tc>
          <w:tcPr>
            <w:tcW w:w="2680" w:type="dxa"/>
          </w:tcPr>
          <w:p w14:paraId="33FBF831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辆/次</w:t>
            </w:r>
          </w:p>
        </w:tc>
        <w:tc>
          <w:tcPr>
            <w:tcW w:w="3387" w:type="dxa"/>
          </w:tcPr>
          <w:p w14:paraId="0CAC959A"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根据实际情况填写，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28"/>
                <w:szCs w:val="28"/>
                <w:u w:val="single"/>
                <w:vertAlign w:val="baseline"/>
                <w:lang w:val="en-US" w:eastAsia="zh-CN"/>
              </w:rPr>
              <w:t>示例：首XX小时免费；XX小时以内（含）XX元；XX小时以上每XX小时XX元</w:t>
            </w:r>
          </w:p>
        </w:tc>
      </w:tr>
    </w:tbl>
    <w:p w14:paraId="198B69E9"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后续如有调整，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具体以现场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停车收费标准公示为准。</w:t>
      </w:r>
    </w:p>
    <w:bookmarkEnd w:id="4"/>
    <w:p w14:paraId="54626EB1">
      <w:pPr>
        <w:suppressAutoHyphens/>
        <w:spacing w:line="60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default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销售价格区间</w:t>
      </w:r>
    </w:p>
    <w:p w14:paraId="06355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本项目可售车位、车库销售价格区间为</w:t>
      </w:r>
      <w:bookmarkStart w:id="5" w:name="OLE_LINK2"/>
      <w:bookmarkStart w:id="6" w:name="OLE_LINK3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XXX</w:t>
      </w:r>
      <w:bookmarkEnd w:id="5"/>
      <w:r>
        <w:rPr>
          <w:rFonts w:hint="default" w:ascii="Times New Roman" w:hAnsi="Times New Roman" w:eastAsia="仿宋_GB2312" w:cs="Times New Roman"/>
          <w:sz w:val="32"/>
          <w:szCs w:val="32"/>
        </w:rPr>
        <w:t>元/个</w:t>
      </w:r>
      <w:bookmarkEnd w:id="6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—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元/个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车位、车库的具体售价因所在位置、尺寸面积等差别而可能存在差异，具体以项目车位、车库销售阶段公示价格为准。按照《东莞市房地产开发项目车位、车库租售管理办法》第六条、第十条及第十二条有关规定，车位、车库销售3年时间内，项目车位、车库在本方案公示的售价区间范围内进行销售。</w:t>
      </w:r>
    </w:p>
    <w:p w14:paraId="035D0D0D">
      <w:pPr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 w14:paraId="2FE5B4D7"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A5C17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69779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69779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B80D2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829059"/>
    <w:multiLevelType w:val="singleLevel"/>
    <w:tmpl w:val="808290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53D157"/>
    <w:multiLevelType w:val="singleLevel"/>
    <w:tmpl w:val="6853D15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7723F"/>
    <w:rsid w:val="0D1A400D"/>
    <w:rsid w:val="0E7E4259"/>
    <w:rsid w:val="2D7E5D55"/>
    <w:rsid w:val="30203302"/>
    <w:rsid w:val="348D32E7"/>
    <w:rsid w:val="37ED2484"/>
    <w:rsid w:val="3C600FEA"/>
    <w:rsid w:val="3D9CF769"/>
    <w:rsid w:val="3E67037D"/>
    <w:rsid w:val="3EDB6A9A"/>
    <w:rsid w:val="3F51A6DC"/>
    <w:rsid w:val="3FD7966D"/>
    <w:rsid w:val="41446E23"/>
    <w:rsid w:val="41BE0CEB"/>
    <w:rsid w:val="48BA3162"/>
    <w:rsid w:val="4D9B295F"/>
    <w:rsid w:val="4E4F1509"/>
    <w:rsid w:val="5259475C"/>
    <w:rsid w:val="5737F4BF"/>
    <w:rsid w:val="5B952750"/>
    <w:rsid w:val="5DD42A4C"/>
    <w:rsid w:val="5DDD2FC2"/>
    <w:rsid w:val="5FF27777"/>
    <w:rsid w:val="638E5D64"/>
    <w:rsid w:val="63A56712"/>
    <w:rsid w:val="643E0106"/>
    <w:rsid w:val="67DE267F"/>
    <w:rsid w:val="6B3602F4"/>
    <w:rsid w:val="6B587D1B"/>
    <w:rsid w:val="6CBE4CD9"/>
    <w:rsid w:val="6D5D8DF3"/>
    <w:rsid w:val="6ECB1154"/>
    <w:rsid w:val="6F9A77FE"/>
    <w:rsid w:val="6FD714E9"/>
    <w:rsid w:val="6FFF76F4"/>
    <w:rsid w:val="73AFD7E1"/>
    <w:rsid w:val="73FB1A09"/>
    <w:rsid w:val="7A9541A3"/>
    <w:rsid w:val="7B8F5645"/>
    <w:rsid w:val="7BF7D809"/>
    <w:rsid w:val="7CFF4DE2"/>
    <w:rsid w:val="7DCEF7FF"/>
    <w:rsid w:val="7E77723F"/>
    <w:rsid w:val="7FF44C1C"/>
    <w:rsid w:val="7FF77B3F"/>
    <w:rsid w:val="9FF7DE65"/>
    <w:rsid w:val="BBBE2E11"/>
    <w:rsid w:val="BFC7C854"/>
    <w:rsid w:val="BFFAEFFE"/>
    <w:rsid w:val="D8AF1050"/>
    <w:rsid w:val="DCDAC361"/>
    <w:rsid w:val="DFBEA758"/>
    <w:rsid w:val="EEE73FF8"/>
    <w:rsid w:val="F11D439F"/>
    <w:rsid w:val="FD7EC691"/>
    <w:rsid w:val="FDCF23ED"/>
    <w:rsid w:val="FF53B872"/>
    <w:rsid w:val="FFAE5DEE"/>
    <w:rsid w:val="FFBE8DEC"/>
    <w:rsid w:val="FFEA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2025-08-01T19:41:00Z</dcterms:created>
  <dc:creator>lenovo</dc:creator>
  <cp:lastModifiedBy>UOS</cp:lastModifiedBy>
  <dcterms:modified xsi:type="dcterms:W3CDTF">2025-08-19T11:52:49Z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2052-12.8.2.17863</vt:lpwstr>
  </property>
  <property fmtid="{D5CDD505-2E9C-101B-9397-08002B2CF9AE}" pid="3" name="ICV">
    <vt:lpwstr>BDA61342863E4C95ACF1326ACDA2DD91_11</vt:lpwstr>
  </property>
</Properties>
</file>