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3D1FA">
      <w:pPr>
        <w:widowControl/>
        <w:spacing w:line="600" w:lineRule="exact"/>
        <w:jc w:val="left"/>
        <w:rPr>
          <w:rFonts w:hint="default" w:ascii="Times New Roman" w:hAnsi="Times New Roman" w:eastAsia="仿宋_GB2312" w:cs="楷体_GB2312"/>
          <w:sz w:val="32"/>
          <w:szCs w:val="32"/>
          <w:lang w:val="en-US" w:eastAsia="zh-CN"/>
        </w:rPr>
      </w:pPr>
      <w:bookmarkStart w:id="21" w:name="_GoBack"/>
      <w:bookmarkEnd w:id="21"/>
      <w:bookmarkStart w:id="0" w:name="OLE_LINK27"/>
      <w:r>
        <w:rPr>
          <w:rFonts w:hint="eastAsia" w:ascii="Times New Roman" w:hAnsi="Times New Roman" w:eastAsia="仿宋_GB2312" w:cs="楷体_GB2312"/>
          <w:sz w:val="32"/>
          <w:szCs w:val="32"/>
          <w:lang w:val="en-US" w:eastAsia="zh-CN"/>
        </w:rPr>
        <w:t>附件7</w:t>
      </w:r>
    </w:p>
    <w:p w14:paraId="4B20865D">
      <w:pPr>
        <w:widowControl/>
        <w:spacing w:line="600" w:lineRule="exact"/>
        <w:jc w:val="left"/>
        <w:rPr>
          <w:rFonts w:hint="eastAsia" w:ascii="Times New Roman" w:hAnsi="方正小标宋简体" w:eastAsia="方正小标宋简体" w:cs="Times New Roman"/>
          <w:sz w:val="44"/>
          <w:szCs w:val="44"/>
          <w:lang w:val="en-US" w:eastAsia="zh-CN"/>
        </w:rPr>
      </w:pPr>
    </w:p>
    <w:p w14:paraId="38083555">
      <w:pPr>
        <w:widowControl/>
        <w:spacing w:line="600" w:lineRule="exact"/>
        <w:jc w:val="center"/>
        <w:rPr>
          <w:rFonts w:hint="eastAsia" w:ascii="Times New Roman" w:hAnsi="方正小标宋简体" w:eastAsia="方正小标宋简体" w:cs="Times New Roman"/>
          <w:sz w:val="44"/>
          <w:szCs w:val="44"/>
        </w:rPr>
      </w:pPr>
      <w:r>
        <w:rPr>
          <w:rFonts w:hint="eastAsia" w:ascii="Times New Roman" w:hAnsi="方正小标宋简体" w:eastAsia="方正小标宋简体" w:cs="Times New Roman"/>
          <w:sz w:val="44"/>
          <w:szCs w:val="44"/>
          <w:lang w:val="en-US" w:eastAsia="zh-CN"/>
        </w:rPr>
        <w:t>XX</w:t>
      </w:r>
      <w:r>
        <w:rPr>
          <w:rFonts w:hint="eastAsia" w:ascii="Times New Roman" w:hAnsi="方正小标宋简体" w:eastAsia="方正小标宋简体" w:cs="Times New Roman"/>
          <w:sz w:val="44"/>
          <w:szCs w:val="44"/>
        </w:rPr>
        <w:t>项目</w:t>
      </w:r>
      <w:r>
        <w:rPr>
          <w:rFonts w:hint="eastAsia" w:ascii="Times New Roman" w:hAnsi="方正小标宋简体" w:eastAsia="方正小标宋简体" w:cs="Times New Roman"/>
          <w:sz w:val="44"/>
          <w:szCs w:val="44"/>
          <w:lang w:val="en-US" w:eastAsia="zh-CN"/>
        </w:rPr>
        <w:t>车位、车库开放轮次</w:t>
      </w:r>
      <w:r>
        <w:rPr>
          <w:rFonts w:hint="eastAsia" w:ascii="Times New Roman" w:hAnsi="方正小标宋简体" w:eastAsia="方正小标宋简体" w:cs="Times New Roman"/>
          <w:sz w:val="44"/>
          <w:szCs w:val="44"/>
        </w:rPr>
        <w:t>租售方案</w:t>
      </w:r>
    </w:p>
    <w:p w14:paraId="122C580D">
      <w:pPr>
        <w:widowControl/>
        <w:spacing w:line="600" w:lineRule="exact"/>
        <w:jc w:val="center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（示范文本）</w:t>
      </w:r>
    </w:p>
    <w:p w14:paraId="117F574E"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8A523B1">
      <w:pPr>
        <w:ind w:firstLine="640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根据《东莞市房地产开发项目车位、车库租售管理办法》第十二条规定，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</w:rPr>
        <w:t>房地产开发项目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eastAsia="zh-CN"/>
        </w:rPr>
        <w:t>车位、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车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eastAsia="zh-CN"/>
        </w:rPr>
        <w:t>库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的销售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时间已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</w:rPr>
        <w:t>满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的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</w:rPr>
        <w:t>，</w:t>
      </w:r>
      <w:r>
        <w:rPr>
          <w:rFonts w:hint="eastAsia" w:ascii="Times New Roman" w:hAnsi="Times New Roman" w:eastAsia="仿宋_GB2312"/>
          <w:b w:val="0"/>
          <w:bCs w:val="0"/>
          <w:color w:val="auto"/>
          <w:kern w:val="0"/>
          <w:sz w:val="32"/>
          <w:szCs w:val="32"/>
          <w:lang w:eastAsia="zh-CN"/>
        </w:rPr>
        <w:t>建设单位</w:t>
      </w:r>
      <w:r>
        <w:rPr>
          <w:rFonts w:hint="eastAsia" w:ascii="Times New Roman" w:hAnsi="Times New Roman" w:eastAsia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在扣除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按第八条规定计算未销售房屋预留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</w:rPr>
        <w:t>相应数量的可售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eastAsia="zh-CN"/>
        </w:rPr>
        <w:t>车位、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车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eastAsia="zh-CN"/>
        </w:rPr>
        <w:t>库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后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可将剩余未售出的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eastAsia="zh-CN"/>
        </w:rPr>
        <w:t>车位、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车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eastAsia="zh-CN"/>
        </w:rPr>
        <w:t>库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继续进行销售，业主可按需购买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本项目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XX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日完成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首份车位、车库买卖合同网签，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截至目前车位、车库销售时间已满3年，特制定本开放轮次租售方案。</w:t>
      </w:r>
    </w:p>
    <w:p w14:paraId="2D63FA3F">
      <w:pPr>
        <w:suppressAutoHyphens/>
        <w:spacing w:line="60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项目房屋及车位、车库出售情况</w:t>
      </w:r>
    </w:p>
    <w:p w14:paraId="758BD455">
      <w:pPr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根据《东莞市房地产开发项目车位、车库租售管理办法》第八条的方式计算，本项目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住宅共计</w:t>
      </w:r>
      <w:bookmarkStart w:id="1" w:name="OLE_LINK1"/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bookmarkEnd w:id="1"/>
      <w:bookmarkStart w:id="2" w:name="OLE_LINK2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套（包括配建、回迁等非市场化商品房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套），</w:t>
      </w:r>
      <w:bookmarkEnd w:id="2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非住宅共计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套（包括配建、回迁等非市场化商品房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套），可售车位、车库共计</w:t>
      </w:r>
      <w:bookmarkStart w:id="3" w:name="OLE_LINK16"/>
      <w:bookmarkStart w:id="4" w:name="OLE_LINK17"/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bookmarkEnd w:id="3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</w:t>
      </w:r>
      <w:bookmarkEnd w:id="4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（包括配建或回迁车位、车库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个）。截至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bookmarkStart w:id="5" w:name="OLE_LINK21"/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bookmarkEnd w:id="5"/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日，</w:t>
      </w:r>
      <w:bookmarkStart w:id="6" w:name="OLE_LINK3"/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住宅</w:t>
      </w:r>
      <w:bookmarkStart w:id="7" w:name="OLE_LINK8"/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已售</w:t>
      </w:r>
      <w:bookmarkStart w:id="8" w:name="OLE_LINK7"/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bookmarkEnd w:id="8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套，</w:t>
      </w:r>
      <w:bookmarkEnd w:id="6"/>
      <w:bookmarkEnd w:id="7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售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套；非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住宅已售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套，</w:t>
      </w:r>
      <w:bookmarkStart w:id="9" w:name="OLE_LINK1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售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套；</w:t>
      </w:r>
      <w:bookmarkEnd w:id="9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车位、车库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已售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bookmarkStart w:id="10" w:name="OLE_LINK20"/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个</w:t>
      </w:r>
      <w:bookmarkEnd w:id="1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，未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售</w:t>
      </w:r>
      <w:bookmarkStart w:id="11" w:name="OLE_LINK15"/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bookmarkEnd w:id="11"/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。按照《东莞市房地产开发项目车位、车库租售管理办法》第十二条规定，</w:t>
      </w:r>
      <w:r>
        <w:rPr>
          <w:rFonts w:hint="eastAsia" w:ascii="Times New Roman" w:hAnsi="Times New Roman" w:eastAsia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在扣除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按第八条规定计算未销售房屋预留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</w:rPr>
        <w:t>相应数量的可售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eastAsia="zh-CN"/>
        </w:rPr>
        <w:t>车位、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车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eastAsia="zh-CN"/>
        </w:rPr>
        <w:t>库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后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剩余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车位、车库纳入本轮销售，具体详见附件。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本轮销售在优先满足未购买车位、车库业主</w:t>
      </w:r>
      <w:r>
        <w:rPr>
          <w:rFonts w:hint="eastAsia" w:ascii="Times New Roman" w:hAnsi="Times New Roman" w:eastAsia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购买1个车位或车库</w:t>
      </w:r>
      <w:r>
        <w:rPr>
          <w:rFonts w:hint="eastAsia" w:ascii="Times New Roman" w:hAnsi="Times New Roman" w:eastAsia="仿宋_GB2312"/>
          <w:b w:val="0"/>
          <w:bCs w:val="0"/>
          <w:color w:val="auto"/>
          <w:kern w:val="0"/>
          <w:sz w:val="32"/>
          <w:szCs w:val="32"/>
          <w:lang w:eastAsia="zh-CN"/>
        </w:rPr>
        <w:t>的</w:t>
      </w:r>
      <w:r>
        <w:rPr>
          <w:rFonts w:hint="eastAsia" w:ascii="Times New Roman" w:hAnsi="Times New Roman" w:eastAsia="仿宋_GB2312"/>
          <w:b w:val="0"/>
          <w:bCs w:val="0"/>
          <w:color w:val="auto"/>
          <w:kern w:val="0"/>
          <w:sz w:val="32"/>
          <w:szCs w:val="32"/>
        </w:rPr>
        <w:t>需求</w:t>
      </w:r>
      <w:r>
        <w:rPr>
          <w:rFonts w:hint="eastAsia" w:ascii="Times New Roman" w:hAnsi="Times New Roman" w:eastAsia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后，将面向有需要增购车位或车库的</w:t>
      </w:r>
      <w:r>
        <w:rPr>
          <w:rFonts w:hint="eastAsia" w:ascii="Times New Roman" w:hAnsi="Times New Roman" w:eastAsia="仿宋_GB2312"/>
          <w:b w:val="0"/>
          <w:bCs w:val="0"/>
          <w:color w:val="auto"/>
          <w:kern w:val="0"/>
          <w:sz w:val="32"/>
          <w:szCs w:val="32"/>
          <w:lang w:eastAsia="zh-CN"/>
        </w:rPr>
        <w:t>业主</w:t>
      </w:r>
      <w:r>
        <w:rPr>
          <w:rFonts w:hint="eastAsia" w:ascii="Times New Roman" w:hAnsi="Times New Roman" w:eastAsia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进行销售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eastAsia="zh-CN"/>
        </w:rPr>
        <w:t>。</w:t>
      </w:r>
    </w:p>
    <w:p w14:paraId="217A4E7C">
      <w:pPr>
        <w:numPr>
          <w:ilvl w:val="-1"/>
          <w:numId w:val="0"/>
        </w:numPr>
        <w:suppressAutoHyphens/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二、停放服务情况</w:t>
      </w:r>
    </w:p>
    <w:p w14:paraId="1D7D59FD">
      <w:pPr>
        <w:widowControl w:val="0"/>
        <w:numPr>
          <w:ilvl w:val="0"/>
          <w:numId w:val="0"/>
        </w:numPr>
        <w:suppressAutoHyphens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（一）本项目机动车停放服务收费按东莞市现行政策实行市场调节价，目前收费标准如下：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5"/>
        <w:gridCol w:w="2680"/>
        <w:gridCol w:w="3387"/>
      </w:tblGrid>
      <w:tr w14:paraId="2832C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5" w:type="dxa"/>
          </w:tcPr>
          <w:p w14:paraId="3AD83D19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方式</w:t>
            </w:r>
          </w:p>
        </w:tc>
        <w:tc>
          <w:tcPr>
            <w:tcW w:w="2680" w:type="dxa"/>
          </w:tcPr>
          <w:p w14:paraId="70861C59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单位</w:t>
            </w:r>
          </w:p>
        </w:tc>
        <w:tc>
          <w:tcPr>
            <w:tcW w:w="3387" w:type="dxa"/>
          </w:tcPr>
          <w:p w14:paraId="0B1F1519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收费标准（单位：元）</w:t>
            </w:r>
          </w:p>
        </w:tc>
      </w:tr>
      <w:tr w14:paraId="06D7C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5" w:type="dxa"/>
          </w:tcPr>
          <w:p w14:paraId="32EC02C6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年租</w:t>
            </w:r>
          </w:p>
        </w:tc>
        <w:tc>
          <w:tcPr>
            <w:tcW w:w="2680" w:type="dxa"/>
          </w:tcPr>
          <w:p w14:paraId="1359CBF0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辆/年</w:t>
            </w:r>
          </w:p>
        </w:tc>
        <w:tc>
          <w:tcPr>
            <w:tcW w:w="3387" w:type="dxa"/>
          </w:tcPr>
          <w:p w14:paraId="6E878F4F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根据实际情况填写</w:t>
            </w:r>
          </w:p>
        </w:tc>
      </w:tr>
      <w:tr w14:paraId="7EA50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5" w:type="dxa"/>
          </w:tcPr>
          <w:p w14:paraId="3189D35E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月租</w:t>
            </w:r>
          </w:p>
        </w:tc>
        <w:tc>
          <w:tcPr>
            <w:tcW w:w="2680" w:type="dxa"/>
          </w:tcPr>
          <w:p w14:paraId="22A2D434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辆/月</w:t>
            </w:r>
          </w:p>
        </w:tc>
        <w:tc>
          <w:tcPr>
            <w:tcW w:w="3387" w:type="dxa"/>
          </w:tcPr>
          <w:p w14:paraId="2C499895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根据实际情况填写</w:t>
            </w:r>
          </w:p>
        </w:tc>
      </w:tr>
      <w:tr w14:paraId="11CDD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55" w:type="dxa"/>
          </w:tcPr>
          <w:p w14:paraId="300230F4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临时出租</w:t>
            </w:r>
          </w:p>
        </w:tc>
        <w:tc>
          <w:tcPr>
            <w:tcW w:w="2680" w:type="dxa"/>
          </w:tcPr>
          <w:p w14:paraId="33FBF831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辆/次</w:t>
            </w:r>
          </w:p>
        </w:tc>
        <w:tc>
          <w:tcPr>
            <w:tcW w:w="3387" w:type="dxa"/>
          </w:tcPr>
          <w:p w14:paraId="0CAC959A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根据实际情况填写，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FF0000"/>
                <w:sz w:val="28"/>
                <w:szCs w:val="28"/>
                <w:u w:val="single"/>
                <w:vertAlign w:val="baseline"/>
                <w:lang w:val="en-US" w:eastAsia="zh-CN"/>
              </w:rPr>
              <w:t>示例：首XX小时免费；XX小时以内（含）XX元；XX小时以上每XX小时XX元</w:t>
            </w:r>
          </w:p>
        </w:tc>
      </w:tr>
    </w:tbl>
    <w:p w14:paraId="198B69E9">
      <w:pPr>
        <w:widowControl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后续如有调整，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highlight w:val="none"/>
        </w:rPr>
        <w:t>具体以现场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highlight w:val="none"/>
        </w:rPr>
        <w:t>停车收费标准公示为准。</w:t>
      </w:r>
    </w:p>
    <w:p w14:paraId="4AF123F4">
      <w:pPr>
        <w:widowControl/>
        <w:numPr>
          <w:ilvl w:val="-1"/>
          <w:numId w:val="0"/>
        </w:numPr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尚未出售的车位、车库，业主、物业使用人需要承租的，我公司将按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收费标准提供停车服务。</w:t>
      </w:r>
    </w:p>
    <w:p w14:paraId="6A397279">
      <w:pPr>
        <w:widowControl/>
        <w:numPr>
          <w:ilvl w:val="-1"/>
          <w:numId w:val="0"/>
        </w:numPr>
        <w:suppressAutoHyphens/>
        <w:spacing w:line="600" w:lineRule="exact"/>
        <w:ind w:firstLine="0" w:firstLineChars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三、车位、车库出售或出租的时间、地点、方式</w:t>
      </w:r>
    </w:p>
    <w:p w14:paraId="1B1B2A06">
      <w:pPr>
        <w:numPr>
          <w:ilvl w:val="0"/>
          <w:numId w:val="1"/>
        </w:numPr>
        <w:suppressAutoHyphens/>
        <w:spacing w:line="600" w:lineRule="exact"/>
        <w:ind w:left="640" w:leftChars="0" w:firstLine="0" w:firstLineChars="0"/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</w:pPr>
      <w:bookmarkStart w:id="12" w:name="OLE_LINK6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间：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。</w:t>
      </w:r>
    </w:p>
    <w:bookmarkEnd w:id="12"/>
    <w:p w14:paraId="3F46FDDA">
      <w:pPr>
        <w:numPr>
          <w:ilvl w:val="0"/>
          <w:numId w:val="1"/>
        </w:numPr>
        <w:suppressAutoHyphens/>
        <w:spacing w:line="600" w:lineRule="exact"/>
        <w:ind w:left="640" w:leftChars="0" w:firstLine="0" w:firstLineChars="0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地点：</w:t>
      </w:r>
      <w:bookmarkStart w:id="13" w:name="OLE_LINK12"/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。</w:t>
      </w:r>
      <w:bookmarkEnd w:id="13"/>
    </w:p>
    <w:p w14:paraId="3513F66E">
      <w:pPr>
        <w:numPr>
          <w:ilvl w:val="0"/>
          <w:numId w:val="1"/>
        </w:numPr>
        <w:suppressAutoHyphens/>
        <w:spacing w:line="600" w:lineRule="exact"/>
        <w:ind w:left="640" w:leftChars="0" w:firstLine="0" w:firstLineChars="0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方式：</w:t>
      </w:r>
      <w:bookmarkStart w:id="14" w:name="OLE_LINK14"/>
      <w:r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single"/>
          <w:lang w:val="en-US" w:eastAsia="zh-CN"/>
        </w:rPr>
        <w:t>例如：先到先得、抽签摇号等等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。</w:t>
      </w:r>
      <w:bookmarkEnd w:id="14"/>
    </w:p>
    <w:p w14:paraId="76E19E55">
      <w:pPr>
        <w:suppressAutoHyphens/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保证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租售过程公开、</w:t>
      </w:r>
      <w:r>
        <w:rPr>
          <w:rFonts w:hint="eastAsia" w:ascii="黑体" w:hAnsi="黑体" w:eastAsia="黑体" w:cs="黑体"/>
          <w:sz w:val="32"/>
          <w:szCs w:val="32"/>
        </w:rPr>
        <w:t>公平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公正的措施</w:t>
      </w:r>
    </w:p>
    <w:p w14:paraId="303591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15" w:name="OLE_LINK35"/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  <w:lang w:val="en-US" w:eastAsia="zh-CN"/>
        </w:rPr>
        <w:t>例如：1.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</w:rPr>
        <w:t>所有车位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  <w:lang w:eastAsia="zh-CN"/>
        </w:rPr>
        <w:t>、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  <w:lang w:val="en-US" w:eastAsia="zh-CN"/>
        </w:rPr>
        <w:t>车库具体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</w:rPr>
        <w:t>售价及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  <w:lang w:val="en-US" w:eastAsia="zh-CN"/>
        </w:rPr>
        <w:t>停车服务收费标准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</w:rPr>
        <w:t>在小区公告栏及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  <w:lang w:val="en-US" w:eastAsia="zh-CN"/>
        </w:rPr>
        <w:t>建设单位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</w:rPr>
        <w:t>线上平台公示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i/>
          <w:iCs/>
          <w:color w:val="FF0000"/>
          <w:kern w:val="2"/>
          <w:sz w:val="32"/>
          <w:szCs w:val="32"/>
          <w:u w:val="single"/>
          <w:lang w:val="en-US" w:eastAsia="zh-CN"/>
        </w:rPr>
        <w:t>未购买车位、车库业主如何优先购买1个车位或车库；3.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</w:rPr>
        <w:t>公证摇号：委托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</w:rPr>
        <w:t>公证处全程监督摇号过程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  <w:lang w:eastAsia="zh-CN"/>
        </w:rPr>
        <w:t>；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</w:rPr>
        <w:t>.投诉渠道：设立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  <w:lang w:val="en-US" w:eastAsia="zh-CN"/>
        </w:rPr>
        <w:t>建设单位内部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</w:rPr>
        <w:t>监督电话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</w:rPr>
        <w:t>及现场咨询台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  <w:lang w:val="en-US" w:eastAsia="zh-CN"/>
        </w:rPr>
        <w:t>等等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bookmarkEnd w:id="15"/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</w:p>
    <w:p w14:paraId="3DC5F89D">
      <w:pPr>
        <w:suppressAutoHyphens/>
        <w:spacing w:line="600" w:lineRule="exact"/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有关事项说明</w:t>
      </w:r>
    </w:p>
    <w:p w14:paraId="4DEE3AF8">
      <w:pPr>
        <w:widowControl w:val="0"/>
        <w:numPr>
          <w:ilvl w:val="-1"/>
          <w:numId w:val="0"/>
        </w:numPr>
        <w:spacing w:line="240" w:lineRule="auto"/>
        <w:ind w:firstLine="640" w:firstLineChars="200"/>
        <w:jc w:val="left"/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b w:val="0"/>
          <w:sz w:val="32"/>
          <w:szCs w:val="32"/>
        </w:rPr>
        <w:t>出售</w:t>
      </w:r>
      <w:r>
        <w:rPr>
          <w:rFonts w:hint="eastAsia" w:ascii="Times New Roman" w:hAnsi="Times New Roman" w:eastAsia="仿宋_GB2312" w:cs="Times New Roman"/>
          <w:b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b w:val="0"/>
          <w:sz w:val="32"/>
          <w:szCs w:val="32"/>
        </w:rPr>
        <w:t>出租的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车位、车库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物业服务费用：</w:t>
      </w:r>
      <w:r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single"/>
          <w:lang w:val="en-US" w:eastAsia="zh-CN"/>
        </w:rPr>
        <w:t>例如：XX元/月、XX元/年等。</w:t>
      </w:r>
      <w:r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none"/>
          <w:lang w:val="en-US" w:eastAsia="zh-CN"/>
        </w:rPr>
        <w:t xml:space="preserve">  </w:t>
      </w:r>
    </w:p>
    <w:p w14:paraId="6299A204">
      <w:pPr>
        <w:widowControl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（二）其他需要说明的管理事项</w:t>
      </w:r>
    </w:p>
    <w:p w14:paraId="444F7515">
      <w:pPr>
        <w:widowControl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</w:pPr>
      <w:bookmarkStart w:id="16" w:name="OLE_LINK18"/>
      <w:r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single"/>
          <w:lang w:val="en-US" w:eastAsia="zh-CN"/>
        </w:rPr>
        <w:t>（建设单位根据实际自行填写）。</w:t>
      </w:r>
    </w:p>
    <w:bookmarkEnd w:id="16"/>
    <w:p w14:paraId="385FD3E2">
      <w:pPr>
        <w:widowControl/>
        <w:numPr>
          <w:ilvl w:val="0"/>
          <w:numId w:val="0"/>
        </w:numPr>
        <w:spacing w:line="60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t>六、公示时间</w:t>
      </w:r>
    </w:p>
    <w:p w14:paraId="2226869E">
      <w:pPr>
        <w:widowControl/>
        <w:numPr>
          <w:ilvl w:val="0"/>
          <w:numId w:val="0"/>
        </w:numPr>
        <w:spacing w:line="600" w:lineRule="exact"/>
        <w:ind w:firstLine="640"/>
        <w:jc w:val="left"/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bookmarkStart w:id="17" w:name="OLE_LINK24"/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本方案公示时间自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bookmarkEnd w:id="17"/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日起至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日止。</w:t>
      </w:r>
    </w:p>
    <w:p w14:paraId="3CC861A6"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18" w:name="OLE_LINK19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七、咨询方式</w:t>
      </w:r>
    </w:p>
    <w:p w14:paraId="119524DE">
      <w:pPr>
        <w:widowControl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ascii="Times New Roman" w:hAnsi="Times New Roman" w:eastAsia="仿宋_GB2312" w:cs="Times New Roman"/>
          <w:b w:val="0"/>
          <w:bCs w:val="0"/>
          <w:i w:val="0"/>
          <w:iCs w:val="0"/>
          <w:caps w:val="0"/>
          <w:spacing w:val="0"/>
          <w:sz w:val="32"/>
          <w:szCs w:val="32"/>
          <w:u w:val="none"/>
          <w:shd w:val="clear"/>
        </w:rPr>
        <w:t>如需咨询详情或获取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pacing w:val="0"/>
          <w:sz w:val="32"/>
          <w:szCs w:val="32"/>
          <w:u w:val="none"/>
          <w:shd w:val="clear"/>
          <w:lang w:val="en-US" w:eastAsia="zh-CN"/>
        </w:rPr>
        <w:t>项目车位、车库</w:t>
      </w:r>
      <w:r>
        <w:rPr>
          <w:rFonts w:ascii="Times New Roman" w:hAnsi="Times New Roman" w:eastAsia="仿宋_GB2312" w:cs="Times New Roman"/>
          <w:b w:val="0"/>
          <w:bCs w:val="0"/>
          <w:i w:val="0"/>
          <w:iCs w:val="0"/>
          <w:caps w:val="0"/>
          <w:spacing w:val="0"/>
          <w:sz w:val="32"/>
          <w:szCs w:val="32"/>
          <w:u w:val="none"/>
          <w:shd w:val="clear"/>
        </w:rPr>
        <w:t>最新租售动态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pacing w:val="0"/>
          <w:sz w:val="32"/>
          <w:szCs w:val="32"/>
          <w:u w:val="none"/>
          <w:shd w:val="clear"/>
          <w:lang w:eastAsia="zh-CN"/>
        </w:rPr>
        <w:t>，</w:t>
      </w:r>
      <w:r>
        <w:rPr>
          <w:rFonts w:hint="eastAsia" w:ascii="Times New Roman" w:hAnsi="Times New Roman" w:eastAsia="仿宋_GB2312" w:cs="Times New Roman"/>
          <w:i w:val="0"/>
          <w:iCs w:val="0"/>
          <w:sz w:val="32"/>
          <w:szCs w:val="32"/>
          <w:u w:val="none"/>
          <w:lang w:val="en-US" w:eastAsia="zh-CN"/>
        </w:rPr>
        <w:t>请致电：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bookmarkEnd w:id="18"/>
    <w:p w14:paraId="65173A85"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八、监督电话</w:t>
      </w:r>
    </w:p>
    <w:p w14:paraId="68B8C4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19" w:name="OLE_LINK31"/>
      <w:r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single"/>
          <w:lang w:val="en-US" w:eastAsia="zh-CN"/>
        </w:rPr>
        <w:t>XX镇/街道/园区住房和城乡建设局/城市建设局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（建设单位租售行为监督）：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仿宋_GB2312" w:cs="Times New Roman"/>
          <w:i/>
          <w:iCs/>
          <w:color w:val="auto"/>
          <w:sz w:val="32"/>
          <w:szCs w:val="32"/>
          <w:u w:val="none"/>
          <w:lang w:val="en-US" w:eastAsia="zh-CN"/>
        </w:rPr>
        <w:t>。</w:t>
      </w:r>
    </w:p>
    <w:p w14:paraId="7EA3EA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single"/>
          <w:lang w:val="en-US" w:eastAsia="zh-CN"/>
        </w:rPr>
        <w:t>XX镇/街道/园区房地产管理所/不动产登记中心/城市建设局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（车位、车库购买资格查册业务咨询）：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仿宋_GB2312" w:cs="Times New Roman"/>
          <w:i/>
          <w:iCs/>
          <w:color w:val="auto"/>
          <w:sz w:val="32"/>
          <w:szCs w:val="32"/>
          <w:u w:val="none"/>
          <w:lang w:val="en-US" w:eastAsia="zh-CN"/>
        </w:rPr>
        <w:t>。</w:t>
      </w:r>
    </w:p>
    <w:p w14:paraId="23549096">
      <w:pPr>
        <w:widowControl/>
        <w:numPr>
          <w:ilvl w:val="0"/>
          <w:numId w:val="0"/>
        </w:numPr>
        <w:spacing w:line="600" w:lineRule="exact"/>
        <w:ind w:firstLine="0" w:firstLineChars="0"/>
        <w:jc w:val="left"/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</w:p>
    <w:p w14:paraId="45DE83D5">
      <w:pPr>
        <w:widowControl/>
        <w:numPr>
          <w:ilvl w:val="0"/>
          <w:numId w:val="0"/>
        </w:numPr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附件:</w:t>
      </w:r>
      <w:bookmarkEnd w:id="19"/>
      <w:bookmarkStart w:id="20" w:name="OLE_LINK9"/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开放轮次拟出售车位、车库明细</w:t>
      </w:r>
      <w:bookmarkEnd w:id="20"/>
    </w:p>
    <w:p w14:paraId="374780B2">
      <w:pPr>
        <w:widowControl/>
        <w:spacing w:line="600" w:lineRule="exact"/>
        <w:ind w:firstLine="3520" w:firstLineChars="1100"/>
        <w:jc w:val="left"/>
        <w:rPr>
          <w:rFonts w:hint="eastAsia" w:ascii="Times New Roman" w:hAnsi="Times New Roman" w:eastAsia="仿宋_GB2312" w:cs="Times New Roman"/>
          <w:sz w:val="32"/>
          <w:szCs w:val="32"/>
        </w:rPr>
      </w:pPr>
    </w:p>
    <w:p w14:paraId="21676F3C">
      <w:pPr>
        <w:widowControl/>
        <w:spacing w:line="600" w:lineRule="exact"/>
        <w:ind w:firstLine="3520" w:firstLineChars="1100"/>
        <w:jc w:val="left"/>
        <w:rPr>
          <w:rFonts w:hint="eastAsia" w:ascii="Times New Roman" w:hAnsi="Times New Roman" w:eastAsia="仿宋_GB2312" w:cs="Times New Roman"/>
          <w:sz w:val="32"/>
          <w:szCs w:val="32"/>
        </w:rPr>
      </w:pPr>
    </w:p>
    <w:p w14:paraId="46FBDA7D">
      <w:pPr>
        <w:widowControl/>
        <w:spacing w:line="600" w:lineRule="exact"/>
        <w:ind w:firstLine="3520" w:firstLineChars="11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建设单位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（加盖公章）：</w:t>
      </w:r>
    </w:p>
    <w:p w14:paraId="120576C8">
      <w:pPr>
        <w:widowControl/>
        <w:spacing w:line="600" w:lineRule="exact"/>
        <w:ind w:firstLine="3520" w:firstLineChars="11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日期：XX年XX月XX日</w:t>
      </w:r>
    </w:p>
    <w:p w14:paraId="0051B249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4CB5FE0E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66C5568B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31BEF0B6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6F453CC2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037FBCA8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5AF35C79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63D2992C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76CC7B1A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19688F2C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27419832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461BE4CC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596F775A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5E253475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3A548A16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01F12186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7DBA67FE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1CD403CE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2B74BCFA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2AC82403">
      <w:pPr>
        <w:widowControl/>
        <w:spacing w:line="600" w:lineRule="exact"/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附件</w:t>
      </w:r>
    </w:p>
    <w:p w14:paraId="6183290B"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4D3E20E8"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开放轮次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拟出售车位、车库明细</w:t>
      </w:r>
    </w:p>
    <w:p w14:paraId="554C5AE6"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tbl>
      <w:tblPr>
        <w:tblStyle w:val="5"/>
        <w:tblW w:w="86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1581"/>
        <w:gridCol w:w="969"/>
        <w:gridCol w:w="1235"/>
        <w:gridCol w:w="1234"/>
        <w:gridCol w:w="1234"/>
        <w:gridCol w:w="1362"/>
      </w:tblGrid>
      <w:tr w14:paraId="1205E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Align w:val="center"/>
          </w:tcPr>
          <w:p w14:paraId="5D3C4765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编号</w:t>
            </w:r>
          </w:p>
        </w:tc>
        <w:tc>
          <w:tcPr>
            <w:tcW w:w="1581" w:type="dxa"/>
            <w:vAlign w:val="center"/>
          </w:tcPr>
          <w:p w14:paraId="14D7E6D3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位置</w:t>
            </w:r>
          </w:p>
        </w:tc>
        <w:tc>
          <w:tcPr>
            <w:tcW w:w="969" w:type="dxa"/>
            <w:vAlign w:val="center"/>
          </w:tcPr>
          <w:p w14:paraId="606A04D9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面积（㎡）</w:t>
            </w:r>
          </w:p>
        </w:tc>
        <w:tc>
          <w:tcPr>
            <w:tcW w:w="1235" w:type="dxa"/>
            <w:vAlign w:val="center"/>
          </w:tcPr>
          <w:p w14:paraId="3263CB29">
            <w:pPr>
              <w:suppressAutoHyphens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尺寸</w:t>
            </w:r>
          </w:p>
        </w:tc>
        <w:tc>
          <w:tcPr>
            <w:tcW w:w="1234" w:type="dxa"/>
            <w:vAlign w:val="center"/>
          </w:tcPr>
          <w:p w14:paraId="6ACF4B1F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类型</w:t>
            </w:r>
          </w:p>
        </w:tc>
        <w:tc>
          <w:tcPr>
            <w:tcW w:w="1234" w:type="dxa"/>
            <w:vAlign w:val="center"/>
          </w:tcPr>
          <w:p w14:paraId="40902EA3">
            <w:pPr>
              <w:suppressAutoHyphens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产权证明文件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编号</w:t>
            </w:r>
          </w:p>
        </w:tc>
        <w:tc>
          <w:tcPr>
            <w:tcW w:w="1362" w:type="dxa"/>
            <w:vAlign w:val="center"/>
          </w:tcPr>
          <w:p w14:paraId="4A537D6C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售价（元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/个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）</w:t>
            </w:r>
          </w:p>
        </w:tc>
      </w:tr>
      <w:tr w14:paraId="04E5F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1066" w:type="dxa"/>
            <w:vAlign w:val="center"/>
          </w:tcPr>
          <w:p w14:paraId="0C88BE73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581" w:type="dxa"/>
            <w:vAlign w:val="center"/>
          </w:tcPr>
          <w:p w14:paraId="35CB1AB2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969" w:type="dxa"/>
            <w:vAlign w:val="center"/>
          </w:tcPr>
          <w:p w14:paraId="51D4D3B6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5" w:type="dxa"/>
            <w:vAlign w:val="center"/>
          </w:tcPr>
          <w:p w14:paraId="0EA81A00">
            <w:pPr>
              <w:suppressAutoHyphens/>
              <w:spacing w:line="20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FF0000"/>
                <w:sz w:val="15"/>
                <w:szCs w:val="15"/>
                <w:vertAlign w:val="baseline"/>
                <w:lang w:val="en-US" w:eastAsia="zh-CN"/>
              </w:rPr>
              <w:t>示例：2.5m*5.3m</w:t>
            </w:r>
          </w:p>
        </w:tc>
        <w:tc>
          <w:tcPr>
            <w:tcW w:w="1234" w:type="dxa"/>
            <w:vAlign w:val="center"/>
          </w:tcPr>
          <w:p w14:paraId="25601C83">
            <w:pPr>
              <w:suppressAutoHyphens/>
              <w:spacing w:line="200" w:lineRule="exact"/>
              <w:jc w:val="center"/>
              <w:rPr>
                <w:rFonts w:hint="default" w:ascii="仿宋_GB2312" w:hAnsi="仿宋_GB2312" w:eastAsia="仿宋_GB2312" w:cs="仿宋_GB2312"/>
                <w:i/>
                <w:iCs/>
                <w:color w:val="FF000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FF0000"/>
                <w:sz w:val="15"/>
                <w:szCs w:val="15"/>
                <w:vertAlign w:val="baseline"/>
                <w:lang w:val="en-US" w:eastAsia="zh-CN"/>
              </w:rPr>
              <w:t>示例：正常车位、微型车位、子母车位等</w:t>
            </w:r>
          </w:p>
        </w:tc>
        <w:tc>
          <w:tcPr>
            <w:tcW w:w="1234" w:type="dxa"/>
            <w:vAlign w:val="center"/>
          </w:tcPr>
          <w:p w14:paraId="1557E9D2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362" w:type="dxa"/>
            <w:vAlign w:val="center"/>
          </w:tcPr>
          <w:p w14:paraId="41927002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 w14:paraId="2D542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Align w:val="center"/>
          </w:tcPr>
          <w:p w14:paraId="48833A33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581" w:type="dxa"/>
            <w:vAlign w:val="center"/>
          </w:tcPr>
          <w:p w14:paraId="52B7A916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969" w:type="dxa"/>
            <w:vAlign w:val="center"/>
          </w:tcPr>
          <w:p w14:paraId="38ADFAE9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5" w:type="dxa"/>
            <w:vAlign w:val="center"/>
          </w:tcPr>
          <w:p w14:paraId="6E7B4D6A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4" w:type="dxa"/>
            <w:vAlign w:val="center"/>
          </w:tcPr>
          <w:p w14:paraId="0D938D1B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4" w:type="dxa"/>
            <w:vAlign w:val="center"/>
          </w:tcPr>
          <w:p w14:paraId="5028DCD9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362" w:type="dxa"/>
            <w:vAlign w:val="center"/>
          </w:tcPr>
          <w:p w14:paraId="1770B12A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 w14:paraId="0577D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Align w:val="center"/>
          </w:tcPr>
          <w:p w14:paraId="2967AC77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581" w:type="dxa"/>
            <w:vAlign w:val="center"/>
          </w:tcPr>
          <w:p w14:paraId="570DF196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969" w:type="dxa"/>
            <w:vAlign w:val="center"/>
          </w:tcPr>
          <w:p w14:paraId="74DED5D4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5" w:type="dxa"/>
            <w:vAlign w:val="center"/>
          </w:tcPr>
          <w:p w14:paraId="2C96E2F8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4" w:type="dxa"/>
            <w:vAlign w:val="center"/>
          </w:tcPr>
          <w:p w14:paraId="14FB4970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4" w:type="dxa"/>
            <w:vAlign w:val="center"/>
          </w:tcPr>
          <w:p w14:paraId="68ACF0DB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362" w:type="dxa"/>
            <w:vAlign w:val="center"/>
          </w:tcPr>
          <w:p w14:paraId="19D223F9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 w14:paraId="2E560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Align w:val="center"/>
          </w:tcPr>
          <w:p w14:paraId="3745DD8B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581" w:type="dxa"/>
            <w:vAlign w:val="center"/>
          </w:tcPr>
          <w:p w14:paraId="02D71932">
            <w:pPr>
              <w:suppressAutoHyphens/>
              <w:spacing w:line="600" w:lineRule="exact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969" w:type="dxa"/>
            <w:vAlign w:val="center"/>
          </w:tcPr>
          <w:p w14:paraId="5EC8696F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5" w:type="dxa"/>
            <w:vAlign w:val="center"/>
          </w:tcPr>
          <w:p w14:paraId="2E322881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4" w:type="dxa"/>
            <w:vAlign w:val="center"/>
          </w:tcPr>
          <w:p w14:paraId="189EEE03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4" w:type="dxa"/>
            <w:vAlign w:val="center"/>
          </w:tcPr>
          <w:p w14:paraId="3F032D7B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362" w:type="dxa"/>
            <w:vAlign w:val="center"/>
          </w:tcPr>
          <w:p w14:paraId="737FDD79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 w14:paraId="05A3D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Align w:val="center"/>
          </w:tcPr>
          <w:p w14:paraId="39C51EBE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581" w:type="dxa"/>
            <w:vAlign w:val="center"/>
          </w:tcPr>
          <w:p w14:paraId="3B3C4636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969" w:type="dxa"/>
            <w:vAlign w:val="center"/>
          </w:tcPr>
          <w:p w14:paraId="56308AE9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5" w:type="dxa"/>
            <w:vAlign w:val="center"/>
          </w:tcPr>
          <w:p w14:paraId="622E48DE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4" w:type="dxa"/>
            <w:vAlign w:val="center"/>
          </w:tcPr>
          <w:p w14:paraId="64B8823F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4" w:type="dxa"/>
            <w:vAlign w:val="center"/>
          </w:tcPr>
          <w:p w14:paraId="79FF5C5A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362" w:type="dxa"/>
            <w:vAlign w:val="center"/>
          </w:tcPr>
          <w:p w14:paraId="69EECDB4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</w:tbl>
    <w:p w14:paraId="0038E159">
      <w:pPr>
        <w:widowControl/>
        <w:numPr>
          <w:ilvl w:val="-1"/>
          <w:numId w:val="0"/>
        </w:numPr>
        <w:spacing w:line="240" w:lineRule="auto"/>
        <w:ind w:firstLine="0" w:firstLineChars="0"/>
        <w:jc w:val="left"/>
        <w:rPr>
          <w:rFonts w:hint="eastAsia" w:asciiTheme="minorHAnsi" w:hAnsiTheme="minorHAnsi" w:eastAsiaTheme="minorEastAsia" w:cstheme="minorBidi"/>
          <w:color w:val="auto"/>
          <w:kern w:val="2"/>
          <w:sz w:val="21"/>
          <w:szCs w:val="22"/>
          <w:lang w:val="en-US" w:eastAsia="zh-CN"/>
        </w:rPr>
      </w:pPr>
      <w:r>
        <w:rPr>
          <w:rFonts w:hint="eastAsia"/>
          <w:color w:val="auto"/>
          <w:lang w:val="en-US" w:eastAsia="zh-CN"/>
        </w:rPr>
        <w:t>注：1.上述拟出售车位、车库不包含配建、回迁等特殊配套的车位、车库。</w:t>
      </w:r>
    </w:p>
    <w:p w14:paraId="4164B24E">
      <w:pPr>
        <w:widowControl/>
        <w:spacing w:line="240" w:lineRule="auto"/>
        <w:ind w:firstLine="420" w:firstLineChars="200"/>
        <w:jc w:val="left"/>
        <w:rPr>
          <w:rFonts w:hint="eastAsia" w:asciiTheme="minorHAnsi" w:hAnsiTheme="minorHAnsi" w:eastAsiaTheme="minorEastAsia" w:cstheme="minorBidi"/>
          <w:color w:val="auto"/>
          <w:sz w:val="21"/>
          <w:szCs w:val="22"/>
          <w:lang w:val="en-US" w:eastAsia="zh-CN"/>
        </w:rPr>
      </w:pPr>
      <w:r>
        <w:rPr>
          <w:rFonts w:hint="eastAsia" w:cstheme="minorBidi"/>
          <w:color w:val="auto"/>
          <w:sz w:val="21"/>
          <w:szCs w:val="22"/>
          <w:lang w:val="en-US" w:eastAsia="zh-CN"/>
        </w:rPr>
        <w:t>2</w:t>
      </w:r>
      <w:r>
        <w:rPr>
          <w:rFonts w:hint="eastAsia" w:asciiTheme="minorHAnsi" w:hAnsiTheme="minorHAnsi" w:eastAsiaTheme="minorEastAsia" w:cstheme="minorBidi"/>
          <w:color w:val="auto"/>
          <w:sz w:val="21"/>
          <w:szCs w:val="22"/>
          <w:lang w:val="en-US" w:eastAsia="zh-CN"/>
        </w:rPr>
        <w:t>.</w:t>
      </w:r>
      <w:r>
        <w:rPr>
          <w:rFonts w:hint="eastAsia" w:cstheme="minorBidi"/>
          <w:color w:val="auto"/>
          <w:sz w:val="21"/>
          <w:szCs w:val="22"/>
          <w:lang w:val="en-US" w:eastAsia="zh-CN"/>
        </w:rPr>
        <w:t>如需查阅车位、车库产权证明文件或实测单线图，请到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cstheme="minorBidi"/>
          <w:color w:val="auto"/>
          <w:sz w:val="21"/>
          <w:szCs w:val="22"/>
          <w:lang w:val="en-US" w:eastAsia="zh-CN"/>
        </w:rPr>
        <w:t>现场办理。</w:t>
      </w:r>
    </w:p>
    <w:p w14:paraId="4F25BFC9">
      <w:pPr>
        <w:widowControl/>
        <w:spacing w:line="240" w:lineRule="auto"/>
        <w:ind w:firstLine="420" w:firstLineChars="200"/>
        <w:jc w:val="left"/>
        <w:rPr>
          <w:rFonts w:hint="eastAsia" w:asciiTheme="minorHAnsi" w:hAnsiTheme="minorHAnsi" w:eastAsiaTheme="minorEastAsia" w:cstheme="minorBidi"/>
          <w:color w:val="auto"/>
          <w:sz w:val="21"/>
          <w:szCs w:val="22"/>
          <w:lang w:val="en-US" w:eastAsia="zh-CN"/>
        </w:rPr>
      </w:pPr>
      <w:r>
        <w:rPr>
          <w:rFonts w:hint="eastAsia" w:cstheme="minorBidi"/>
          <w:color w:val="auto"/>
          <w:sz w:val="21"/>
          <w:szCs w:val="22"/>
          <w:lang w:val="en-US" w:eastAsia="zh-CN"/>
        </w:rPr>
        <w:t>3</w:t>
      </w:r>
      <w:r>
        <w:rPr>
          <w:rFonts w:hint="eastAsia" w:asciiTheme="minorHAnsi" w:hAnsiTheme="minorHAnsi" w:eastAsiaTheme="minorEastAsia" w:cstheme="minorBidi"/>
          <w:color w:val="auto"/>
          <w:sz w:val="21"/>
          <w:szCs w:val="22"/>
          <w:lang w:val="en-US" w:eastAsia="zh-CN"/>
        </w:rPr>
        <w:t>.</w:t>
      </w:r>
      <w:r>
        <w:rPr>
          <w:rFonts w:hint="eastAsia" w:cstheme="minorBidi"/>
          <w:color w:val="auto"/>
          <w:sz w:val="21"/>
          <w:szCs w:val="22"/>
          <w:lang w:val="en-US" w:eastAsia="zh-CN"/>
        </w:rPr>
        <w:t>尚未出售的车位、车库，业主、物业使用人需要承租的，我公司将按本方案第二条收费标准提供停车服务。</w:t>
      </w:r>
    </w:p>
    <w:p w14:paraId="5F8233CD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4AE6B8C9">
      <w:pPr>
        <w:widowControl/>
        <w:numPr>
          <w:ilvl w:val="-1"/>
          <w:numId w:val="0"/>
        </w:numPr>
        <w:spacing w:line="240" w:lineRule="auto"/>
        <w:ind w:firstLine="420" w:firstLineChars="200"/>
        <w:jc w:val="left"/>
        <w:rPr>
          <w:rFonts w:hint="eastAsia" w:asciiTheme="minorHAnsi" w:hAnsiTheme="minorHAnsi" w:eastAsiaTheme="minorEastAsia" w:cstheme="minorBidi"/>
          <w:color w:val="auto"/>
          <w:kern w:val="2"/>
          <w:sz w:val="21"/>
          <w:szCs w:val="22"/>
          <w:lang w:val="en-US" w:eastAsia="zh-CN"/>
        </w:rPr>
      </w:pPr>
    </w:p>
    <w:p w14:paraId="54CF0C1F">
      <w:pPr>
        <w:rPr>
          <w:rFonts w:hint="eastAsia"/>
          <w:lang w:val="en-US" w:eastAsia="zh-CN"/>
        </w:rPr>
      </w:pPr>
    </w:p>
    <w:p w14:paraId="40D76E8C">
      <w:pPr>
        <w:rPr>
          <w:rFonts w:hint="eastAsia"/>
          <w:lang w:val="en-US" w:eastAsia="zh-CN"/>
        </w:rPr>
      </w:pPr>
    </w:p>
    <w:p w14:paraId="1CEC6734">
      <w:pPr>
        <w:rPr>
          <w:rFonts w:hint="eastAsia"/>
          <w:lang w:val="en-US" w:eastAsia="zh-CN"/>
        </w:rPr>
      </w:pPr>
    </w:p>
    <w:p w14:paraId="0A67A4CE">
      <w:pPr>
        <w:rPr>
          <w:rFonts w:hint="eastAsia"/>
          <w:lang w:val="en-US" w:eastAsia="zh-CN"/>
        </w:rPr>
      </w:pPr>
    </w:p>
    <w:p w14:paraId="2E9B92AC">
      <w:pPr>
        <w:rPr>
          <w:rFonts w:hint="eastAsia"/>
          <w:lang w:val="en-US" w:eastAsia="zh-CN"/>
        </w:rPr>
      </w:pPr>
    </w:p>
    <w:p w14:paraId="4C101B85">
      <w:pPr>
        <w:rPr>
          <w:rFonts w:hint="eastAsia"/>
          <w:lang w:val="en-US" w:eastAsia="zh-CN"/>
        </w:rPr>
      </w:pPr>
    </w:p>
    <w:p w14:paraId="3343B10C">
      <w:pPr>
        <w:rPr>
          <w:rFonts w:hint="eastAsia"/>
          <w:lang w:val="en-US" w:eastAsia="zh-CN"/>
        </w:rPr>
      </w:pPr>
    </w:p>
    <w:p w14:paraId="4EC8AEBC">
      <w:pPr>
        <w:rPr>
          <w:rFonts w:hint="eastAsia"/>
          <w:lang w:val="en-US" w:eastAsia="zh-CN"/>
        </w:rPr>
      </w:pPr>
    </w:p>
    <w:p w14:paraId="219C29A4">
      <w:pPr>
        <w:rPr>
          <w:rFonts w:hint="eastAsia"/>
          <w:lang w:val="en-US" w:eastAsia="zh-CN"/>
        </w:rPr>
      </w:pPr>
    </w:p>
    <w:p w14:paraId="06E07893">
      <w:pPr>
        <w:rPr>
          <w:rFonts w:hint="eastAsia"/>
          <w:lang w:val="en-US" w:eastAsia="zh-CN"/>
        </w:rPr>
      </w:pPr>
    </w:p>
    <w:p w14:paraId="1C2868A1">
      <w:pPr>
        <w:rPr>
          <w:rFonts w:hint="eastAsia"/>
          <w:lang w:val="en-US" w:eastAsia="zh-CN"/>
        </w:rPr>
      </w:pPr>
    </w:p>
    <w:bookmarkEnd w:id="0"/>
    <w:p w14:paraId="72660B87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4D9E2D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0DD9A1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0DD9A1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C89DD6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5C50F0"/>
    <w:multiLevelType w:val="singleLevel"/>
    <w:tmpl w:val="945C50F0"/>
    <w:lvl w:ilvl="0" w:tentative="0">
      <w:start w:val="1"/>
      <w:numFmt w:val="chineseCounting"/>
      <w:suff w:val="nothing"/>
      <w:lvlText w:val="（%1）"/>
      <w:lvlJc w:val="left"/>
      <w:pPr>
        <w:ind w:left="64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8E10C2"/>
    <w:rsid w:val="007314A1"/>
    <w:rsid w:val="00B633B9"/>
    <w:rsid w:val="022D7723"/>
    <w:rsid w:val="025362DD"/>
    <w:rsid w:val="02EF77E1"/>
    <w:rsid w:val="02F538E8"/>
    <w:rsid w:val="034858F1"/>
    <w:rsid w:val="035B108E"/>
    <w:rsid w:val="035F3FA0"/>
    <w:rsid w:val="03D45F0D"/>
    <w:rsid w:val="041C6F4E"/>
    <w:rsid w:val="04223055"/>
    <w:rsid w:val="04726FC9"/>
    <w:rsid w:val="04A3012C"/>
    <w:rsid w:val="04A80D30"/>
    <w:rsid w:val="04E43113"/>
    <w:rsid w:val="04EC3DA3"/>
    <w:rsid w:val="05B47F69"/>
    <w:rsid w:val="05E53FBB"/>
    <w:rsid w:val="067231FC"/>
    <w:rsid w:val="067370A2"/>
    <w:rsid w:val="07565116"/>
    <w:rsid w:val="090F1EE9"/>
    <w:rsid w:val="094903F5"/>
    <w:rsid w:val="09597377"/>
    <w:rsid w:val="09642C78"/>
    <w:rsid w:val="09665582"/>
    <w:rsid w:val="0974768F"/>
    <w:rsid w:val="09AD0AEE"/>
    <w:rsid w:val="09EA50CF"/>
    <w:rsid w:val="0A21302B"/>
    <w:rsid w:val="0A224330"/>
    <w:rsid w:val="0A7C7EC1"/>
    <w:rsid w:val="0B560EAA"/>
    <w:rsid w:val="0B5D6980"/>
    <w:rsid w:val="0C1C7C0E"/>
    <w:rsid w:val="0C3D20A1"/>
    <w:rsid w:val="0D766BE0"/>
    <w:rsid w:val="0DBB06F4"/>
    <w:rsid w:val="0E260688"/>
    <w:rsid w:val="0EA86E5E"/>
    <w:rsid w:val="0EC166AB"/>
    <w:rsid w:val="0F601CC9"/>
    <w:rsid w:val="0FB726D8"/>
    <w:rsid w:val="0FD77389"/>
    <w:rsid w:val="106152C1"/>
    <w:rsid w:val="11AE6F8F"/>
    <w:rsid w:val="11F41C82"/>
    <w:rsid w:val="12112B1B"/>
    <w:rsid w:val="124C5B94"/>
    <w:rsid w:val="12F26322"/>
    <w:rsid w:val="13484AEA"/>
    <w:rsid w:val="13515442"/>
    <w:rsid w:val="13D74C58"/>
    <w:rsid w:val="14227D18"/>
    <w:rsid w:val="14AC0B76"/>
    <w:rsid w:val="14AF1AFB"/>
    <w:rsid w:val="14EB7761"/>
    <w:rsid w:val="154D06FF"/>
    <w:rsid w:val="1574056E"/>
    <w:rsid w:val="15F63117"/>
    <w:rsid w:val="160968B4"/>
    <w:rsid w:val="160E0421"/>
    <w:rsid w:val="169B7D2C"/>
    <w:rsid w:val="16DA118B"/>
    <w:rsid w:val="171A79F6"/>
    <w:rsid w:val="17530E55"/>
    <w:rsid w:val="17722603"/>
    <w:rsid w:val="17845DA0"/>
    <w:rsid w:val="17A553DC"/>
    <w:rsid w:val="17C90A93"/>
    <w:rsid w:val="17DE7734"/>
    <w:rsid w:val="1876442F"/>
    <w:rsid w:val="18883F55"/>
    <w:rsid w:val="18BC4BA4"/>
    <w:rsid w:val="19101CCB"/>
    <w:rsid w:val="197917AB"/>
    <w:rsid w:val="19AD1F2E"/>
    <w:rsid w:val="1A1928E2"/>
    <w:rsid w:val="1A5E42D0"/>
    <w:rsid w:val="1A83719D"/>
    <w:rsid w:val="1B2D36A3"/>
    <w:rsid w:val="1B3D393E"/>
    <w:rsid w:val="1B8E672D"/>
    <w:rsid w:val="1BB73608"/>
    <w:rsid w:val="1CCF1816"/>
    <w:rsid w:val="1D5E6E3B"/>
    <w:rsid w:val="1DAE1BDA"/>
    <w:rsid w:val="1E0D5CDA"/>
    <w:rsid w:val="1E5209CD"/>
    <w:rsid w:val="1EAC105C"/>
    <w:rsid w:val="1EFD0EE7"/>
    <w:rsid w:val="1F3B31B2"/>
    <w:rsid w:val="1F612D89"/>
    <w:rsid w:val="1FE11CE6"/>
    <w:rsid w:val="1FF52902"/>
    <w:rsid w:val="20657133"/>
    <w:rsid w:val="20722CA7"/>
    <w:rsid w:val="21585442"/>
    <w:rsid w:val="2165142E"/>
    <w:rsid w:val="21AB4ED9"/>
    <w:rsid w:val="226B4005"/>
    <w:rsid w:val="237A63C1"/>
    <w:rsid w:val="253E4DA8"/>
    <w:rsid w:val="262D403B"/>
    <w:rsid w:val="27341454"/>
    <w:rsid w:val="27532294"/>
    <w:rsid w:val="27564A0D"/>
    <w:rsid w:val="27B91352"/>
    <w:rsid w:val="27BA76BA"/>
    <w:rsid w:val="27D304DD"/>
    <w:rsid w:val="28364A85"/>
    <w:rsid w:val="286A3FDB"/>
    <w:rsid w:val="288D5494"/>
    <w:rsid w:val="28C1246B"/>
    <w:rsid w:val="28F22C3A"/>
    <w:rsid w:val="28F306BC"/>
    <w:rsid w:val="29583C63"/>
    <w:rsid w:val="2973228F"/>
    <w:rsid w:val="29CF427D"/>
    <w:rsid w:val="2A055081"/>
    <w:rsid w:val="2AB53BA0"/>
    <w:rsid w:val="2B316D6D"/>
    <w:rsid w:val="2BAE1BB9"/>
    <w:rsid w:val="2BD14E26"/>
    <w:rsid w:val="2BF70041"/>
    <w:rsid w:val="2DB73222"/>
    <w:rsid w:val="2DD02F20"/>
    <w:rsid w:val="2E1B7734"/>
    <w:rsid w:val="2E5047DB"/>
    <w:rsid w:val="2E51438B"/>
    <w:rsid w:val="2E67652F"/>
    <w:rsid w:val="2F0857BD"/>
    <w:rsid w:val="2F7E3AF9"/>
    <w:rsid w:val="2FDF2898"/>
    <w:rsid w:val="303B772F"/>
    <w:rsid w:val="30696F79"/>
    <w:rsid w:val="310B708A"/>
    <w:rsid w:val="31311AA0"/>
    <w:rsid w:val="31BB30A3"/>
    <w:rsid w:val="31D33FCD"/>
    <w:rsid w:val="31FA5F04"/>
    <w:rsid w:val="327731DE"/>
    <w:rsid w:val="338340D7"/>
    <w:rsid w:val="348D41C6"/>
    <w:rsid w:val="356C7FB1"/>
    <w:rsid w:val="358955C1"/>
    <w:rsid w:val="363E3B8C"/>
    <w:rsid w:val="365D0BBE"/>
    <w:rsid w:val="36622AC7"/>
    <w:rsid w:val="37165DEE"/>
    <w:rsid w:val="3728158B"/>
    <w:rsid w:val="373B05AC"/>
    <w:rsid w:val="377A5B12"/>
    <w:rsid w:val="3812280E"/>
    <w:rsid w:val="382F0AB9"/>
    <w:rsid w:val="385E4E8B"/>
    <w:rsid w:val="38E627E6"/>
    <w:rsid w:val="38EF0EF7"/>
    <w:rsid w:val="391F3C45"/>
    <w:rsid w:val="3949030C"/>
    <w:rsid w:val="394B7F8C"/>
    <w:rsid w:val="396159B3"/>
    <w:rsid w:val="398F7F14"/>
    <w:rsid w:val="39EA4EF4"/>
    <w:rsid w:val="39F13F9D"/>
    <w:rsid w:val="3A7E3533"/>
    <w:rsid w:val="3AC14675"/>
    <w:rsid w:val="3ACC4C05"/>
    <w:rsid w:val="3AEA2A8B"/>
    <w:rsid w:val="3B200669"/>
    <w:rsid w:val="3B94AA6B"/>
    <w:rsid w:val="3BE16CCB"/>
    <w:rsid w:val="3C2B5E46"/>
    <w:rsid w:val="3D7D3EA4"/>
    <w:rsid w:val="3D8A3804"/>
    <w:rsid w:val="3EBE4059"/>
    <w:rsid w:val="3F7A6532"/>
    <w:rsid w:val="3FDE2CED"/>
    <w:rsid w:val="3FFF843D"/>
    <w:rsid w:val="400C2214"/>
    <w:rsid w:val="40461265"/>
    <w:rsid w:val="405A1423"/>
    <w:rsid w:val="40854466"/>
    <w:rsid w:val="41F9564C"/>
    <w:rsid w:val="41FF2281"/>
    <w:rsid w:val="421A52C0"/>
    <w:rsid w:val="42B424FC"/>
    <w:rsid w:val="42D178AE"/>
    <w:rsid w:val="438837D9"/>
    <w:rsid w:val="4444198E"/>
    <w:rsid w:val="448A687F"/>
    <w:rsid w:val="45423E2F"/>
    <w:rsid w:val="45727023"/>
    <w:rsid w:val="457F5E93"/>
    <w:rsid w:val="45E66B3C"/>
    <w:rsid w:val="460D47FD"/>
    <w:rsid w:val="465316EE"/>
    <w:rsid w:val="46652C8D"/>
    <w:rsid w:val="46733953"/>
    <w:rsid w:val="47926372"/>
    <w:rsid w:val="479E3C8F"/>
    <w:rsid w:val="47ADCC81"/>
    <w:rsid w:val="4843441C"/>
    <w:rsid w:val="4890451C"/>
    <w:rsid w:val="48F30D3D"/>
    <w:rsid w:val="49154775"/>
    <w:rsid w:val="49ECAD98"/>
    <w:rsid w:val="4A4D25BF"/>
    <w:rsid w:val="4A622219"/>
    <w:rsid w:val="4A83494B"/>
    <w:rsid w:val="4AD43451"/>
    <w:rsid w:val="4B217937"/>
    <w:rsid w:val="4B824338"/>
    <w:rsid w:val="4C5D60F5"/>
    <w:rsid w:val="4CB848EB"/>
    <w:rsid w:val="4E005F07"/>
    <w:rsid w:val="4E137126"/>
    <w:rsid w:val="4E9A2882"/>
    <w:rsid w:val="4EEF5DE4"/>
    <w:rsid w:val="4FA95520"/>
    <w:rsid w:val="4FFF6EEB"/>
    <w:rsid w:val="51230EB5"/>
    <w:rsid w:val="51442461"/>
    <w:rsid w:val="517664B3"/>
    <w:rsid w:val="517C5E3E"/>
    <w:rsid w:val="519A53EE"/>
    <w:rsid w:val="525B6B31"/>
    <w:rsid w:val="53B312E1"/>
    <w:rsid w:val="53B9177E"/>
    <w:rsid w:val="54473D53"/>
    <w:rsid w:val="55586EE0"/>
    <w:rsid w:val="5569512F"/>
    <w:rsid w:val="55D52260"/>
    <w:rsid w:val="568A088E"/>
    <w:rsid w:val="56A64B36"/>
    <w:rsid w:val="56AD7D44"/>
    <w:rsid w:val="56D70B89"/>
    <w:rsid w:val="57183844"/>
    <w:rsid w:val="576E6AFE"/>
    <w:rsid w:val="577EAADF"/>
    <w:rsid w:val="57905A95"/>
    <w:rsid w:val="581B7F1B"/>
    <w:rsid w:val="594F1212"/>
    <w:rsid w:val="597C0DDC"/>
    <w:rsid w:val="59BE2B4A"/>
    <w:rsid w:val="5A1743C1"/>
    <w:rsid w:val="5A363A8E"/>
    <w:rsid w:val="5B3204AE"/>
    <w:rsid w:val="5BDB7642"/>
    <w:rsid w:val="5C4202EB"/>
    <w:rsid w:val="5CA2740B"/>
    <w:rsid w:val="5CC31B3E"/>
    <w:rsid w:val="5D7551E4"/>
    <w:rsid w:val="5D9A6933"/>
    <w:rsid w:val="5E8219FA"/>
    <w:rsid w:val="5F485606"/>
    <w:rsid w:val="5F592DFB"/>
    <w:rsid w:val="60140FB0"/>
    <w:rsid w:val="605807A0"/>
    <w:rsid w:val="60BB5926"/>
    <w:rsid w:val="60CE3C62"/>
    <w:rsid w:val="61466F5D"/>
    <w:rsid w:val="61763176"/>
    <w:rsid w:val="61D76693"/>
    <w:rsid w:val="62A9226E"/>
    <w:rsid w:val="62C25396"/>
    <w:rsid w:val="63B65455"/>
    <w:rsid w:val="644D291F"/>
    <w:rsid w:val="645912F7"/>
    <w:rsid w:val="648E10C2"/>
    <w:rsid w:val="649C04A0"/>
    <w:rsid w:val="64A04927"/>
    <w:rsid w:val="64A47A41"/>
    <w:rsid w:val="6566186D"/>
    <w:rsid w:val="673C35B0"/>
    <w:rsid w:val="67C25449"/>
    <w:rsid w:val="682C160E"/>
    <w:rsid w:val="69303421"/>
    <w:rsid w:val="69680FFD"/>
    <w:rsid w:val="69D22C2B"/>
    <w:rsid w:val="69F256DE"/>
    <w:rsid w:val="6A146F17"/>
    <w:rsid w:val="6AA0237F"/>
    <w:rsid w:val="6B057B25"/>
    <w:rsid w:val="6B0B1A2E"/>
    <w:rsid w:val="6B6433C1"/>
    <w:rsid w:val="6BF22C25"/>
    <w:rsid w:val="6C0A3B4F"/>
    <w:rsid w:val="6D3754BB"/>
    <w:rsid w:val="6D8A74C3"/>
    <w:rsid w:val="6D95908D"/>
    <w:rsid w:val="6EB6851F"/>
    <w:rsid w:val="6F238755"/>
    <w:rsid w:val="6F516E2F"/>
    <w:rsid w:val="6F7F6144"/>
    <w:rsid w:val="6F95081D"/>
    <w:rsid w:val="6FFF1209"/>
    <w:rsid w:val="70901D3A"/>
    <w:rsid w:val="709616C4"/>
    <w:rsid w:val="70A14AB9"/>
    <w:rsid w:val="70BF3D60"/>
    <w:rsid w:val="71671D9D"/>
    <w:rsid w:val="716F288F"/>
    <w:rsid w:val="719B34F1"/>
    <w:rsid w:val="72062BA0"/>
    <w:rsid w:val="726C5DC7"/>
    <w:rsid w:val="7322656F"/>
    <w:rsid w:val="7373731D"/>
    <w:rsid w:val="73F73A16"/>
    <w:rsid w:val="741C7D0C"/>
    <w:rsid w:val="74516EE2"/>
    <w:rsid w:val="74DA13C4"/>
    <w:rsid w:val="76741165"/>
    <w:rsid w:val="768A5887"/>
    <w:rsid w:val="76AF6A48"/>
    <w:rsid w:val="76F42D38"/>
    <w:rsid w:val="76F8393D"/>
    <w:rsid w:val="776743A1"/>
    <w:rsid w:val="777B7FBE"/>
    <w:rsid w:val="77BE779B"/>
    <w:rsid w:val="77FDDF9D"/>
    <w:rsid w:val="77FF017D"/>
    <w:rsid w:val="78245629"/>
    <w:rsid w:val="782D04B7"/>
    <w:rsid w:val="783A7A6C"/>
    <w:rsid w:val="78C13986"/>
    <w:rsid w:val="78F227FE"/>
    <w:rsid w:val="790754C3"/>
    <w:rsid w:val="7949798A"/>
    <w:rsid w:val="795E40AC"/>
    <w:rsid w:val="79CE7BE3"/>
    <w:rsid w:val="79FF5116"/>
    <w:rsid w:val="79FFA29B"/>
    <w:rsid w:val="7A2250EE"/>
    <w:rsid w:val="7A4665A8"/>
    <w:rsid w:val="7AF16A40"/>
    <w:rsid w:val="7AF763CB"/>
    <w:rsid w:val="7B1B9127"/>
    <w:rsid w:val="7B475BEC"/>
    <w:rsid w:val="7B646D7F"/>
    <w:rsid w:val="7B9B6ED9"/>
    <w:rsid w:val="7BC13896"/>
    <w:rsid w:val="7C0A4F8F"/>
    <w:rsid w:val="7C630EA1"/>
    <w:rsid w:val="7C757936"/>
    <w:rsid w:val="7CB763AC"/>
    <w:rsid w:val="7D71F37D"/>
    <w:rsid w:val="7DED3D9D"/>
    <w:rsid w:val="7E480F94"/>
    <w:rsid w:val="7E5F3B8F"/>
    <w:rsid w:val="7E8C722C"/>
    <w:rsid w:val="7EAC425D"/>
    <w:rsid w:val="7EEFD2ED"/>
    <w:rsid w:val="7FDF8DF3"/>
    <w:rsid w:val="7FE6ED2E"/>
    <w:rsid w:val="7FEBDE1B"/>
    <w:rsid w:val="7FFF1C9E"/>
    <w:rsid w:val="9FDB4692"/>
    <w:rsid w:val="A3DEADF5"/>
    <w:rsid w:val="B6F6F6C8"/>
    <w:rsid w:val="B77FF04F"/>
    <w:rsid w:val="B7F7BB58"/>
    <w:rsid w:val="B9FAB30D"/>
    <w:rsid w:val="BF670142"/>
    <w:rsid w:val="BFB6D4ED"/>
    <w:rsid w:val="BFCFA062"/>
    <w:rsid w:val="BFF14D53"/>
    <w:rsid w:val="BFFFA4D8"/>
    <w:rsid w:val="C77353E2"/>
    <w:rsid w:val="D5FEE1F3"/>
    <w:rsid w:val="D77E851A"/>
    <w:rsid w:val="DCFFC858"/>
    <w:rsid w:val="DFED6F8F"/>
    <w:rsid w:val="DFFD024A"/>
    <w:rsid w:val="DFFDE682"/>
    <w:rsid w:val="DFFF19F3"/>
    <w:rsid w:val="E2E45C0A"/>
    <w:rsid w:val="E8FDC34F"/>
    <w:rsid w:val="EB7BCCF5"/>
    <w:rsid w:val="EEED2709"/>
    <w:rsid w:val="F2FF47BE"/>
    <w:rsid w:val="F6FA0A82"/>
    <w:rsid w:val="FBEAD8B9"/>
    <w:rsid w:val="FEB39B3F"/>
    <w:rsid w:val="FEED57B3"/>
    <w:rsid w:val="FEFBD99C"/>
    <w:rsid w:val="FF3F4B0F"/>
    <w:rsid w:val="FF768BB3"/>
    <w:rsid w:val="FF7B52E0"/>
    <w:rsid w:val="FFB7F53C"/>
    <w:rsid w:val="FFF7E0A0"/>
    <w:rsid w:val="FFFBE496"/>
    <w:rsid w:val="FFFD64F9"/>
    <w:rsid w:val="FFFF041D"/>
    <w:rsid w:val="FFFFF5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Office_12.8.2.17863_F1E327BC-269C-435d-A152-05C5408002CA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2025-06-28T03:09:00Z</dcterms:created>
  <dc:creator>lenovo</dc:creator>
  <cp:lastModifiedBy>UOS</cp:lastModifiedBy>
  <dcterms:modified xsi:type="dcterms:W3CDTF">2025-08-19T11:50:18Z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2052-12.8.2.17863</vt:lpwstr>
  </property>
  <property fmtid="{D5CDD505-2E9C-101B-9397-08002B2CF9AE}" pid="3" name="ICV">
    <vt:lpwstr>0FFCB4FC5C56416BBA17BDE75A5942D7_11</vt:lpwstr>
  </property>
</Properties>
</file>