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EC3ED3">
      <w:pPr>
        <w:widowControl/>
        <w:spacing w:line="600" w:lineRule="exact"/>
        <w:jc w:val="left"/>
        <w:rPr>
          <w:rFonts w:hint="eastAsia" w:ascii="Times New Roman" w:hAnsi="Times New Roman" w:eastAsia="仿宋_GB2312" w:cs="楷体_GB2312"/>
          <w:sz w:val="32"/>
          <w:szCs w:val="32"/>
          <w:lang w:val="en-US" w:eastAsia="zh-CN"/>
        </w:rPr>
      </w:pPr>
      <w:bookmarkStart w:id="0" w:name="OLE_LINK27"/>
      <w:r>
        <w:rPr>
          <w:rFonts w:hint="eastAsia" w:ascii="Times New Roman" w:hAnsi="Times New Roman" w:eastAsia="仿宋_GB2312" w:cs="楷体_GB2312"/>
          <w:sz w:val="32"/>
          <w:szCs w:val="32"/>
          <w:lang w:val="en-US" w:eastAsia="zh-CN"/>
        </w:rPr>
        <w:t>附件4</w:t>
      </w:r>
    </w:p>
    <w:p w14:paraId="08B11AA3">
      <w:pPr>
        <w:widowControl/>
        <w:spacing w:line="600" w:lineRule="exact"/>
        <w:jc w:val="lef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7B73AED8">
      <w:pPr>
        <w:widowControl/>
        <w:spacing w:line="600" w:lineRule="exact"/>
        <w:jc w:val="center"/>
        <w:rPr>
          <w:rFonts w:hint="eastAsia" w:ascii="Times New Roman" w:hAnsi="方正小标宋简体" w:eastAsia="方正小标宋简体" w:cs="Times New Roman"/>
          <w:sz w:val="44"/>
          <w:szCs w:val="44"/>
        </w:rPr>
      </w:pP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XX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项目</w:t>
      </w: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车位、车库第一轮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租售方案</w:t>
      </w:r>
    </w:p>
    <w:p w14:paraId="33D9FA61">
      <w:pPr>
        <w:widowControl/>
        <w:spacing w:line="600" w:lineRule="exact"/>
        <w:jc w:val="center"/>
        <w:rPr>
          <w:rFonts w:hint="eastAsia" w:ascii="Times New Roman" w:hAnsi="方正小标宋简体" w:eastAsia="方正小标宋简体" w:cs="Times New Roman"/>
          <w:sz w:val="44"/>
          <w:szCs w:val="44"/>
        </w:rPr>
      </w:pP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（增量项目</w:t>
      </w:r>
      <w:r>
        <w:rPr>
          <w:rStyle w:val="13"/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footnoteReference w:id="0"/>
      </w: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适用）</w:t>
      </w:r>
    </w:p>
    <w:p w14:paraId="76032CDC">
      <w:pPr>
        <w:widowControl/>
        <w:spacing w:line="600" w:lineRule="exact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（示范文本）</w:t>
      </w:r>
    </w:p>
    <w:p w14:paraId="1289F76C">
      <w:pPr>
        <w:spacing w:line="600" w:lineRule="exact"/>
        <w:ind w:firstLine="640" w:firstLineChars="200"/>
        <w:jc w:val="left"/>
        <w:rPr>
          <w:sz w:val="32"/>
          <w:szCs w:val="32"/>
        </w:rPr>
      </w:pPr>
    </w:p>
    <w:p w14:paraId="4AAE8A63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项目车位、车库概况</w:t>
      </w:r>
    </w:p>
    <w:p w14:paraId="03D125FC">
      <w:pPr>
        <w:suppressAutoHyphens/>
        <w:spacing w:line="60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bookmarkStart w:id="1" w:name="OLE_LINK8"/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车位、车库规划配置情况</w:t>
      </w:r>
    </w:p>
    <w:p w14:paraId="050B8498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2" w:name="OLE_LINK34"/>
      <w:bookmarkStart w:id="3" w:name="OLE_LINK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住宅</w:t>
      </w:r>
      <w:bookmarkStart w:id="4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bookmarkStart w:id="5" w:name="OLE_LINK3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bookmarkStart w:id="6" w:name="OLE_LINK3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5C02443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bookmarkStart w:id="7" w:name="OLE_LINK2"/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C47B836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3.办公用途房屋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 w14:paraId="61DD497B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4.其他用途房屋计容建筑面积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个。</w:t>
      </w:r>
    </w:p>
    <w:bookmarkEnd w:id="2"/>
    <w:p w14:paraId="31542101">
      <w:pPr>
        <w:widowControl/>
        <w:spacing w:line="60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数量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、位置、权属及构成情况</w:t>
      </w:r>
    </w:p>
    <w:bookmarkEnd w:id="3"/>
    <w:p w14:paraId="7404B16B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用于停放汽车的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个，构成如下：</w:t>
      </w:r>
    </w:p>
    <w:p w14:paraId="580627DD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。其中，产权车位、车库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，非产权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03E28FEC">
      <w:pPr>
        <w:widowControl/>
        <w:numPr>
          <w:ilvl w:val="-1"/>
          <w:numId w:val="0"/>
        </w:numPr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。其中，产权车位、车库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，非产权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。  </w:t>
      </w:r>
    </w:p>
    <w:p w14:paraId="2E20B587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本项目车位、车库具体位置、编号等情况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详见项目规划总平面图及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地下室平面图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附件1、附件2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如项目存在尚未竣工备案的车位、车库的，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受实际开发建设影响，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</w:rPr>
        <w:t>车位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车库具体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</w:rPr>
        <w:t>数量、分布与以上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  <w:t>信息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</w:rPr>
        <w:t>可能存在一定差异，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最终以规划核实及权属登记情况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为准。</w:t>
      </w:r>
    </w:p>
    <w:p w14:paraId="0800A30B">
      <w:pPr>
        <w:numPr>
          <w:ilvl w:val="-1"/>
          <w:numId w:val="0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eastAsia="zh-CN"/>
        </w:rPr>
        <w:t>车位、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/>
        </w:rPr>
        <w:t>车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eastAsia="zh-CN"/>
        </w:rPr>
        <w:t>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/>
        </w:rPr>
        <w:t>权属登记及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eastAsia="zh-CN"/>
        </w:rPr>
        <w:t>现售备案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情况</w:t>
      </w:r>
    </w:p>
    <w:p w14:paraId="2ECD3762">
      <w:pPr>
        <w:suppressAutoHyphens/>
        <w:spacing w:line="60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本项目车位、车库于</w:t>
      </w:r>
      <w:bookmarkStart w:id="8" w:name="OLE_LINK9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</w:t>
      </w:r>
      <w:bookmarkEnd w:id="8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取得权属登记证书，权属证书编号详见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附件3。</w:t>
      </w:r>
    </w:p>
    <w:p w14:paraId="31DE2B3B">
      <w:pPr>
        <w:suppressAutoHyphens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本项目车位、车库于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日取得《东莞市商品房现售备案证书》，编号：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（附件4）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，现售车位、车库共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个、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平方米。</w:t>
      </w:r>
    </w:p>
    <w:p w14:paraId="7EFF3C99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（四）特殊配套车位、车库情况（如有）</w:t>
      </w:r>
    </w:p>
    <w:p w14:paraId="10203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无偿配建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车位、车库情况</w:t>
      </w:r>
    </w:p>
    <w:p w14:paraId="26D72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9" w:name="OLE_LINK20"/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土地出让合同、协议等相关约定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bookmarkEnd w:id="9"/>
      <w:bookmarkStart w:id="10" w:name="OLE_LINK25"/>
      <w:r>
        <w:rPr>
          <w:rFonts w:hint="default" w:ascii="Times New Roman" w:hAnsi="Times New Roman" w:eastAsia="仿宋_GB2312" w:cs="Times New Roman"/>
          <w:sz w:val="32"/>
          <w:szCs w:val="32"/>
        </w:rPr>
        <w:t>本项目</w:t>
      </w:r>
      <w:bookmarkEnd w:id="10"/>
      <w:r>
        <w:rPr>
          <w:rFonts w:hint="default" w:ascii="Times New Roman" w:hAnsi="Times New Roman" w:eastAsia="仿宋_GB2312" w:cs="Times New Roman"/>
          <w:sz w:val="32"/>
          <w:szCs w:val="32"/>
        </w:rPr>
        <w:t>需无偿配建并移交政府的</w:t>
      </w:r>
      <w:bookmarkStart w:id="11" w:name="OLE_LINK18"/>
      <w:bookmarkStart w:id="12" w:name="OLE_LINK15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bookmarkEnd w:id="11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</w:t>
      </w:r>
      <w:bookmarkEnd w:id="1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其中产权</w:t>
      </w:r>
      <w:bookmarkStart w:id="13" w:name="OLE_LINK19"/>
      <w:bookmarkStart w:id="14" w:name="OLE_LINK1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bookmarkEnd w:id="13"/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bookmarkEnd w:id="14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非产权车位、车库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5552DCE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2.回迁车位、车库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情况</w:t>
      </w:r>
    </w:p>
    <w:p w14:paraId="6C145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土地出让合同、协议等相关约定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，本项目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需向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回迁对象配套提供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其中产权车位、车库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非产权车位、车库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4F3F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3.其他有关情况</w:t>
      </w:r>
    </w:p>
    <w:p w14:paraId="17CEB2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（建设单位根据实际情况自行填写）。</w:t>
      </w:r>
    </w:p>
    <w:p w14:paraId="733BB5F6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车位、车库拟出售情况（根据项目具体类型选择填写）</w:t>
      </w:r>
    </w:p>
    <w:p w14:paraId="5A38F577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15" w:name="OLE_LINK28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（一）居住用地开发项目</w:t>
      </w:r>
    </w:p>
    <w:p w14:paraId="13F68806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根据《东莞市房地产开发项目车位、车库租售管理办法》第八条规定的方式计算，项目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套（包括配建、回迁等非市场化商品住房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非住宅（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含商业、办公、其他用房，下同）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bookmarkStart w:id="16" w:name="OLE_LINK26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bookmarkStart w:id="17" w:name="OLE_LINK4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包括配建、回迁等非市场化</w:t>
      </w:r>
      <w:bookmarkEnd w:id="1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套），可售车位、车库共计</w:t>
      </w:r>
      <w:bookmarkStart w:id="18" w:name="OLE_LINK23"/>
      <w:bookmarkStart w:id="19" w:name="OLE_LINK17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1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  <w:bookmarkEnd w:id="1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（包括配建或回迁车位、车库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个），可售车位、车库配比为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bookmarkEnd w:id="15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。</w:t>
      </w:r>
    </w:p>
    <w:p w14:paraId="1D79B55C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（二）商服用地开发项目</w:t>
      </w:r>
    </w:p>
    <w:p w14:paraId="3B797F91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根据《东莞市房地产开发项目车位、车库租售管理办法》第八条规定的方式计算，项目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套），可售车位、车库共计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个（包括配建或回迁车位、车库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个），可售车位、车库配比为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F47E0E0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/>
        </w:rPr>
        <w:t>商住混合用地开发项目</w:t>
      </w:r>
    </w:p>
    <w:p w14:paraId="417D9224">
      <w:pPr>
        <w:suppressAutoHyphens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根据《东莞市房地产开发项目车位、车库租售管理办法》第八条规定的方式计算，项目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套（包括配建、回迁等非市场化商品住房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套）。项目可售车位、车库共计</w:t>
      </w:r>
      <w:bookmarkStart w:id="20" w:name="OLE_LINK33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2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个（包括配建或回迁车位、车库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个）。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根据住宅、非住宅的车位、车库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规划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配置情况以及可售车位、车库的数量情况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按比例分别计算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住宅及非住宅房屋的可售车位、车库数量以及可售车位、车库配比分别为：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住宅可售车位、车库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个，可售车位、车库配比为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非住宅可售车位、车库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可售车位、车库配比为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。上述车位、车库将分别面向住宅和非住宅业主，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在各自数量范围内进行销售。</w:t>
      </w:r>
    </w:p>
    <w:p w14:paraId="13C060CB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明细清单详见附件3。本轮销售中，每套房屋业主只能购买一个车位或车库。涉及配建或回迁物业的，如土地出让相关合同、协议等对配建或回迁车位、车库已做出约定的，从其约定。配建或回迁物业业主无同时持有配建或回迁车位、车库的，可按其他商品房业主同等条件进行购买。</w:t>
      </w:r>
    </w:p>
    <w:p w14:paraId="20526B6A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如建设单位在出售物业前已按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《东莞市物业管理条例》有关规定，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制定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并公示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车位、车库租售方案，明确车位、车库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销售价格区间的，则本轮车位、车库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售价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应在该租售方案公示的销售价格区间范围内。</w:t>
      </w:r>
    </w:p>
    <w:p w14:paraId="22334FE3">
      <w:pPr>
        <w:numPr>
          <w:ilvl w:val="0"/>
          <w:numId w:val="1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停放服务情况</w:t>
      </w:r>
    </w:p>
    <w:p w14:paraId="1D7D59FD">
      <w:pPr>
        <w:widowControl w:val="0"/>
        <w:numPr>
          <w:ilvl w:val="-1"/>
          <w:numId w:val="0"/>
        </w:numPr>
        <w:suppressAutoHyphens/>
        <w:spacing w:line="60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（一）本项目机动车停放服务收费按东莞市现行政策实行市场调节价，目前收费标准如下：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680"/>
        <w:gridCol w:w="3387"/>
      </w:tblGrid>
      <w:tr w14:paraId="2832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AD83D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方式</w:t>
            </w:r>
          </w:p>
        </w:tc>
        <w:tc>
          <w:tcPr>
            <w:tcW w:w="2680" w:type="dxa"/>
          </w:tcPr>
          <w:p w14:paraId="70861C5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3387" w:type="dxa"/>
          </w:tcPr>
          <w:p w14:paraId="0B1F15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收费标准（单位：元）</w:t>
            </w:r>
          </w:p>
        </w:tc>
      </w:tr>
      <w:tr w14:paraId="06D7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2EC02C6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年租</w:t>
            </w:r>
          </w:p>
        </w:tc>
        <w:tc>
          <w:tcPr>
            <w:tcW w:w="2680" w:type="dxa"/>
          </w:tcPr>
          <w:p w14:paraId="1359CBF0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辆/年</w:t>
            </w:r>
          </w:p>
        </w:tc>
        <w:tc>
          <w:tcPr>
            <w:tcW w:w="3387" w:type="dxa"/>
          </w:tcPr>
          <w:p w14:paraId="6E878F4F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7EA5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189D35E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月租</w:t>
            </w:r>
          </w:p>
        </w:tc>
        <w:tc>
          <w:tcPr>
            <w:tcW w:w="2680" w:type="dxa"/>
          </w:tcPr>
          <w:p w14:paraId="22A2D43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辆/月</w:t>
            </w:r>
          </w:p>
        </w:tc>
        <w:tc>
          <w:tcPr>
            <w:tcW w:w="3387" w:type="dxa"/>
          </w:tcPr>
          <w:p w14:paraId="2C499895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11CD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00230F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临时出租</w:t>
            </w:r>
          </w:p>
        </w:tc>
        <w:tc>
          <w:tcPr>
            <w:tcW w:w="2680" w:type="dxa"/>
          </w:tcPr>
          <w:p w14:paraId="33FBF831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辆/次</w:t>
            </w:r>
          </w:p>
        </w:tc>
        <w:tc>
          <w:tcPr>
            <w:tcW w:w="3387" w:type="dxa"/>
          </w:tcPr>
          <w:p w14:paraId="0CAC959A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28"/>
                <w:szCs w:val="28"/>
                <w:u w:val="single"/>
                <w:vertAlign w:val="baseline"/>
                <w:lang w:val="en-US" w:eastAsia="zh-CN"/>
              </w:rPr>
              <w:t>示例：首XX小时免费；XX小时以内（含）XX元；XX小时以上每XX小时XX元</w:t>
            </w:r>
          </w:p>
        </w:tc>
      </w:tr>
    </w:tbl>
    <w:p w14:paraId="198B69E9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后续如有调整，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具体以现场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停车收费标准公示为准。</w:t>
      </w:r>
    </w:p>
    <w:p w14:paraId="462E6740">
      <w:pPr>
        <w:widowControl/>
        <w:numPr>
          <w:ilvl w:val="-1"/>
          <w:numId w:val="0"/>
        </w:numPr>
        <w:suppressAutoHyphens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1" w:name="OLE_LINK3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尚未出售的车位、车库，业主、物业使用人需要承租的，我公司将按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收费标准提供停车服务。</w:t>
      </w:r>
    </w:p>
    <w:bookmarkEnd w:id="21"/>
    <w:p w14:paraId="4964CF11">
      <w:pPr>
        <w:numPr>
          <w:ilvl w:val="0"/>
          <w:numId w:val="0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四、车位、车库出售或出租的时间、地点、方式</w:t>
      </w:r>
    </w:p>
    <w:p w14:paraId="64630769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22" w:name="OLE_LINK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间：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</w:p>
    <w:bookmarkEnd w:id="22"/>
    <w:p w14:paraId="4E78B361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地点：</w:t>
      </w:r>
      <w:bookmarkStart w:id="23" w:name="OLE_LINK12"/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23"/>
    </w:p>
    <w:p w14:paraId="20864640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方式：</w:t>
      </w:r>
      <w:bookmarkStart w:id="24" w:name="OLE_LINK14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例如：先到先得、抽签摇号等等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24"/>
    </w:p>
    <w:p w14:paraId="48360DD2">
      <w:p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保证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租售过程公开、</w:t>
      </w:r>
      <w:r>
        <w:rPr>
          <w:rFonts w:hint="eastAsia" w:ascii="黑体" w:hAnsi="黑体" w:eastAsia="黑体" w:cs="黑体"/>
          <w:sz w:val="32"/>
          <w:szCs w:val="32"/>
        </w:rPr>
        <w:t>公平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公正的措施</w:t>
      </w:r>
    </w:p>
    <w:p w14:paraId="5B669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5" w:name="OLE_LINK35"/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例如：1.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所有车位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车库具体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售价及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停车服务收费标准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在小区公告栏及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线上平台公示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2.公证摇号：委托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公证处全程监督摇号过程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3.投诉渠道：设立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建设单位内部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监督电话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及现场咨询台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等等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End w:id="25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2A806BAD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有关事项说明</w:t>
      </w:r>
    </w:p>
    <w:p w14:paraId="3DC70D34">
      <w:pPr>
        <w:widowControl w:val="0"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i/>
          <w:iCs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出售</w:t>
      </w:r>
      <w:r>
        <w:rPr>
          <w:rFonts w:hint="eastAsia" w:ascii="仿宋" w:hAnsi="仿宋" w:eastAsia="仿宋" w:cs="仿宋"/>
          <w:b w:val="0"/>
          <w:color w:val="000000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出租的车位、车库</w:t>
      </w:r>
      <w:r>
        <w:rPr>
          <w:rFonts w:hint="eastAsia" w:ascii="仿宋" w:hAnsi="仿宋" w:eastAsia="仿宋" w:cs="仿宋"/>
          <w:b w:val="0"/>
          <w:color w:val="000000"/>
          <w:sz w:val="31"/>
          <w:szCs w:val="31"/>
          <w:lang w:val="en-US" w:eastAsia="zh-CN"/>
        </w:rPr>
        <w:t>的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物业服务费用</w:t>
      </w:r>
      <w:r>
        <w:rPr>
          <w:rFonts w:hint="eastAsia" w:ascii="仿宋" w:hAnsi="仿宋" w:eastAsia="仿宋" w:cs="仿宋"/>
          <w:b w:val="0"/>
          <w:color w:val="000000"/>
          <w:sz w:val="31"/>
          <w:szCs w:val="31"/>
          <w:lang w:val="en-US" w:eastAsia="zh-CN"/>
        </w:rPr>
        <w:t>为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例如：XX元/月、XX元/年等。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none"/>
          <w:lang w:val="en-US" w:eastAsia="zh-CN"/>
        </w:rPr>
        <w:t xml:space="preserve"> </w:t>
      </w:r>
    </w:p>
    <w:p w14:paraId="184EF636"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 人防工程情况</w:t>
      </w:r>
    </w:p>
    <w:p w14:paraId="3800CE06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1.项目人民防空工程范围：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</w:p>
    <w:p w14:paraId="7256AA0E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</w:pPr>
      <w:bookmarkStart w:id="26" w:name="OLE_LINK43"/>
      <w:bookmarkStart w:id="27" w:name="OLE_LINK4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2.人防车位、车库安置情况：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 xml:space="preserve"> </w:t>
      </w:r>
      <w:bookmarkStart w:id="28" w:name="OLE_LINK42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</w:t>
      </w:r>
      <w:bookmarkEnd w:id="28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人防车位、车库平时提供临时停放服务或按合同约定提供租赁服务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>。</w:t>
      </w:r>
    </w:p>
    <w:p w14:paraId="23D184C0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3.使用注意事项：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例如：人防车位、车库的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>使用人应当依法履行人防工程维护管理责任，不得损毁和破坏人防工程设施设备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26"/>
    </w:p>
    <w:bookmarkEnd w:id="27"/>
    <w:p w14:paraId="2CCA01F6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（三）其他需要说明的管理事项</w:t>
      </w:r>
    </w:p>
    <w:p w14:paraId="5A884C56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29" w:name="OLE_LINK29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（建设单位自行填写，包括但不限于充电桩车位使用注意事项、其他需告知的不利因素等）</w:t>
      </w:r>
      <w:bookmarkEnd w:id="29"/>
    </w:p>
    <w:p w14:paraId="6F359446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七、公示时间</w:t>
      </w:r>
    </w:p>
    <w:p w14:paraId="52CB4DF4">
      <w:pPr>
        <w:widowControl/>
        <w:numPr>
          <w:ilvl w:val="0"/>
          <w:numId w:val="0"/>
        </w:numPr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bookmarkStart w:id="30" w:name="OLE_LINK24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本方案公示时间自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30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日起至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日止。</w:t>
      </w:r>
    </w:p>
    <w:p w14:paraId="71413D1A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八、咨询方式</w:t>
      </w:r>
    </w:p>
    <w:p w14:paraId="2C293060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Style w:val="11"/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</w:rPr>
        <w:t>如需咨询详情或获取</w:t>
      </w:r>
      <w:r>
        <w:rPr>
          <w:rStyle w:val="11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  <w:lang w:val="en-US" w:eastAsia="zh-CN"/>
        </w:rPr>
        <w:t>项目车位、车库</w:t>
      </w:r>
      <w:r>
        <w:rPr>
          <w:rStyle w:val="11"/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</w:rPr>
        <w:t>最新租售动态</w:t>
      </w:r>
      <w:r>
        <w:rPr>
          <w:rStyle w:val="11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请致电</w:t>
      </w:r>
      <w:r>
        <w:rPr>
          <w:rFonts w:hint="eastAsia" w:ascii="Times New Roman" w:hAnsi="Times New Roman" w:eastAsia="仿宋_GB2312" w:cs="Times New Roman"/>
          <w:i w:val="0"/>
          <w:iCs w:val="0"/>
          <w:color w:val="FF0000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 w14:paraId="0A1A77AD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九、监督电话</w:t>
      </w:r>
    </w:p>
    <w:p w14:paraId="68B8C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31" w:name="OLE_LINK21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XX镇/街道/园区住房和城乡建设局/城市建设局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（建设单位租售行为监督）：</w:t>
      </w:r>
      <w:bookmarkStart w:id="32" w:name="OLE_LINK7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  <w:bookmarkEnd w:id="32"/>
    </w:p>
    <w:p w14:paraId="7EA3E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XX镇/街道/园区房地产管理所/不动产登记中心/城市建设局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（车位、车库购买资格查册业务咨询）：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</w:p>
    <w:bookmarkEnd w:id="31"/>
    <w:p w14:paraId="66AF9D6A">
      <w:pPr>
        <w:widowControl/>
        <w:spacing w:line="600" w:lineRule="exact"/>
        <w:ind w:firstLine="0" w:firstLineChars="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</w:p>
    <w:p w14:paraId="6449CACE">
      <w:pPr>
        <w:widowControl/>
        <w:numPr>
          <w:ilvl w:val="0"/>
          <w:numId w:val="0"/>
        </w:numPr>
        <w:spacing w:line="600" w:lineRule="exact"/>
        <w:ind w:left="0"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bookmarkStart w:id="33" w:name="OLE_LINK31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附件: 1.项目规划总平面图</w:t>
      </w:r>
    </w:p>
    <w:p w14:paraId="405E3F81">
      <w:pPr>
        <w:widowControl/>
        <w:numPr>
          <w:ilvl w:val="-1"/>
          <w:numId w:val="0"/>
        </w:numPr>
        <w:spacing w:line="600" w:lineRule="exact"/>
        <w:ind w:left="0" w:leftChars="0" w:firstLine="1280" w:firstLineChars="4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2.项目地下室平面图</w:t>
      </w:r>
    </w:p>
    <w:p w14:paraId="5BA10416">
      <w:pPr>
        <w:widowControl/>
        <w:numPr>
          <w:ilvl w:val="0"/>
          <w:numId w:val="0"/>
        </w:numPr>
        <w:spacing w:line="600" w:lineRule="exact"/>
        <w:ind w:left="0" w:leftChars="0" w:firstLine="1280" w:firstLineChars="4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3.拟出售车位、车库明细</w:t>
      </w:r>
    </w:p>
    <w:p w14:paraId="4EAD61C6">
      <w:pPr>
        <w:widowControl/>
        <w:numPr>
          <w:ilvl w:val="0"/>
          <w:numId w:val="0"/>
        </w:numPr>
        <w:spacing w:line="600" w:lineRule="exact"/>
        <w:ind w:left="0" w:leftChars="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        4.车位、车库现售备案证书</w:t>
      </w:r>
    </w:p>
    <w:bookmarkEnd w:id="33"/>
    <w:p w14:paraId="0FC4CDE9">
      <w:pPr>
        <w:widowControl/>
        <w:numPr>
          <w:ilvl w:val="0"/>
          <w:numId w:val="0"/>
        </w:numPr>
        <w:spacing w:line="600" w:lineRule="exact"/>
        <w:ind w:left="0" w:leftChars="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</w:p>
    <w:p w14:paraId="7DC18D6B">
      <w:pPr>
        <w:widowControl/>
        <w:spacing w:line="600" w:lineRule="exact"/>
        <w:ind w:firstLine="0" w:firstLineChars="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4E1DCBAE">
      <w:pPr>
        <w:widowControl/>
        <w:spacing w:line="600" w:lineRule="exact"/>
        <w:ind w:firstLine="3520" w:firstLineChars="11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（加盖公章）：</w:t>
      </w:r>
    </w:p>
    <w:p w14:paraId="196CB37E">
      <w:pPr>
        <w:widowControl/>
        <w:spacing w:line="600" w:lineRule="exact"/>
        <w:ind w:firstLine="3520" w:firstLineChars="1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日期：XX年XX月XX日</w:t>
      </w:r>
    </w:p>
    <w:p w14:paraId="7149BDB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A508465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D4CE258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B650048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D87410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0194FCD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A37B397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701A81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CF46C69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3E53200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844AF0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E45E3FD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F8ECCA2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1749043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B28BBE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C8CDCE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50B422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E5C5E6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D0B58DD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35" w:name="_GoBack"/>
      <w:bookmarkEnd w:id="35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</w:t>
      </w:r>
    </w:p>
    <w:p w14:paraId="0E956CF9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968D05D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拟出售车位、车库明细</w:t>
      </w:r>
    </w:p>
    <w:p w14:paraId="212E14DE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9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81"/>
        <w:gridCol w:w="969"/>
        <w:gridCol w:w="1235"/>
        <w:gridCol w:w="1234"/>
        <w:gridCol w:w="1234"/>
        <w:gridCol w:w="1362"/>
      </w:tblGrid>
      <w:tr w14:paraId="27EAA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1CB8F5AD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bookmarkStart w:id="34" w:name="OLE_LINK36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1581" w:type="dxa"/>
            <w:vAlign w:val="center"/>
          </w:tcPr>
          <w:p w14:paraId="3EEECBA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位置</w:t>
            </w:r>
          </w:p>
        </w:tc>
        <w:tc>
          <w:tcPr>
            <w:tcW w:w="969" w:type="dxa"/>
            <w:vAlign w:val="center"/>
          </w:tcPr>
          <w:p w14:paraId="61E5873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面积（㎡）</w:t>
            </w:r>
          </w:p>
        </w:tc>
        <w:tc>
          <w:tcPr>
            <w:tcW w:w="1235" w:type="dxa"/>
            <w:vAlign w:val="center"/>
          </w:tcPr>
          <w:p w14:paraId="47DCEA34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尺寸</w:t>
            </w:r>
          </w:p>
        </w:tc>
        <w:tc>
          <w:tcPr>
            <w:tcW w:w="1234" w:type="dxa"/>
            <w:vAlign w:val="center"/>
          </w:tcPr>
          <w:p w14:paraId="77BC0D9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1234" w:type="dxa"/>
            <w:vAlign w:val="center"/>
          </w:tcPr>
          <w:p w14:paraId="7D7C927E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产权证明文件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编号</w:t>
            </w:r>
          </w:p>
        </w:tc>
        <w:tc>
          <w:tcPr>
            <w:tcW w:w="1362" w:type="dxa"/>
            <w:vAlign w:val="center"/>
          </w:tcPr>
          <w:p w14:paraId="0BD0070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售价（元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/个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 w14:paraId="066D3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066" w:type="dxa"/>
            <w:vAlign w:val="center"/>
          </w:tcPr>
          <w:p w14:paraId="328E17E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00232AD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0FE0521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8B7BB13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示例：2.5m*5.3m</w:t>
            </w:r>
          </w:p>
        </w:tc>
        <w:tc>
          <w:tcPr>
            <w:tcW w:w="1234" w:type="dxa"/>
            <w:vAlign w:val="center"/>
          </w:tcPr>
          <w:p w14:paraId="009545BF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示例：正常车位、微型车位、子母车位等</w:t>
            </w:r>
          </w:p>
        </w:tc>
        <w:tc>
          <w:tcPr>
            <w:tcW w:w="1234" w:type="dxa"/>
            <w:vAlign w:val="center"/>
          </w:tcPr>
          <w:p w14:paraId="0A4CB20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41B5BB3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508C0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32F0154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0F4EC71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64BF2394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463B356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504D215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4A48E40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7C37A38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6A96C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46DDCE6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638A6A0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5504120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6127AA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007EC27D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2619FB6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5A22974C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6883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53E743E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01962089">
            <w:pPr>
              <w:suppressAutoHyphens/>
              <w:spacing w:line="6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2F4C63FA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18CA67E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6817ADEA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1FA6545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6064ADC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1F8A3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17E65908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635DCA9E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3BDA0540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127B198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3CCA1E2D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777A32E2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217C0A5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721ACEA7">
      <w:pPr>
        <w:widowControl/>
        <w:spacing w:line="240" w:lineRule="auto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注：1.上述拟出售车位、车库不包含配建、回迁等特殊配套的车位、车库。</w:t>
      </w:r>
    </w:p>
    <w:p w14:paraId="1EAFE89B">
      <w:pPr>
        <w:widowControl/>
        <w:numPr>
          <w:ilvl w:val="-1"/>
          <w:numId w:val="0"/>
        </w:numPr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</w:pPr>
      <w:r>
        <w:rPr>
          <w:rFonts w:hint="eastAsia" w:cstheme="minorBidi"/>
          <w:color w:val="auto"/>
          <w:kern w:val="2"/>
          <w:sz w:val="21"/>
          <w:szCs w:val="22"/>
          <w:lang w:val="en-US" w:eastAsia="zh-CN"/>
        </w:rPr>
        <w:t>2.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如建设单位在出售物业前已按《东莞市物业管理条例》有关规定，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</w:rPr>
        <w:t>制定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并公示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</w:rPr>
        <w:t>车位、车库租售方案，明确车位、车库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销售价格区间的，则本轮车位、车库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highlight w:val="none"/>
          <w:lang w:val="en-US" w:eastAsia="zh-CN"/>
        </w:rPr>
        <w:t>售价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应在该租售方案公示的销售价格区间范围内。</w:t>
      </w:r>
    </w:p>
    <w:p w14:paraId="615AE592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3.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如需查阅车位、车库产权证明文件或实测单线图，请到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现场办理。</w:t>
      </w:r>
    </w:p>
    <w:p w14:paraId="44761352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4.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尚未出售的车位、车库，业主、物业使用人需要承租的，我公司将按本方案第三条收费标准提供停车服务。</w:t>
      </w:r>
    </w:p>
    <w:p w14:paraId="13D96863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F41EF4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847DCA2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DCD4A70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bookmarkEnd w:id="0"/>
    <w:bookmarkEnd w:id="34"/>
    <w:p w14:paraId="57A9DAC2">
      <w:pPr>
        <w:widowControl/>
        <w:spacing w:line="600" w:lineRule="exact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4A0C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9BA69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9BA69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599CD102">
      <w:pPr>
        <w:pStyle w:val="7"/>
        <w:snapToGrid w:val="0"/>
        <w:rPr>
          <w:rFonts w:hint="default" w:eastAsiaTheme="minorEastAsia"/>
          <w:lang w:val="en-US" w:eastAsia="zh-CN"/>
        </w:rPr>
      </w:pPr>
      <w:r>
        <w:rPr>
          <w:rStyle w:val="13"/>
        </w:rPr>
        <w:footnoteRef/>
      </w:r>
      <w:r>
        <w:t xml:space="preserve"> </w:t>
      </w:r>
      <w:r>
        <w:rPr>
          <w:rFonts w:hint="eastAsia"/>
          <w:lang w:val="en-US" w:eastAsia="zh-CN"/>
        </w:rPr>
        <w:t>增量项目是指《东莞市房地产开发项目车位、车库租售管理办法》实施后取得车位、车库现售备案证书的房地产开发项目。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09BD5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50F0"/>
    <w:multiLevelType w:val="singleLevel"/>
    <w:tmpl w:val="945C50F0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BF049742"/>
    <w:multiLevelType w:val="singleLevel"/>
    <w:tmpl w:val="BF0497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DD"/>
    <w:rsid w:val="0001327E"/>
    <w:rsid w:val="00066A99"/>
    <w:rsid w:val="000A35E1"/>
    <w:rsid w:val="00107EA2"/>
    <w:rsid w:val="00157DDD"/>
    <w:rsid w:val="001C5FD1"/>
    <w:rsid w:val="002305C7"/>
    <w:rsid w:val="00246049"/>
    <w:rsid w:val="0026154C"/>
    <w:rsid w:val="0028310A"/>
    <w:rsid w:val="002B1C5C"/>
    <w:rsid w:val="002C3805"/>
    <w:rsid w:val="00395FEE"/>
    <w:rsid w:val="003976D0"/>
    <w:rsid w:val="00420E7C"/>
    <w:rsid w:val="00463FFF"/>
    <w:rsid w:val="00482D85"/>
    <w:rsid w:val="00486026"/>
    <w:rsid w:val="00510F0E"/>
    <w:rsid w:val="00521116"/>
    <w:rsid w:val="00566132"/>
    <w:rsid w:val="006141BE"/>
    <w:rsid w:val="00687E3D"/>
    <w:rsid w:val="006B3064"/>
    <w:rsid w:val="00713F7E"/>
    <w:rsid w:val="00745E4A"/>
    <w:rsid w:val="0075089D"/>
    <w:rsid w:val="0075614F"/>
    <w:rsid w:val="00845F4A"/>
    <w:rsid w:val="00885444"/>
    <w:rsid w:val="00925F8B"/>
    <w:rsid w:val="009A0515"/>
    <w:rsid w:val="009C6507"/>
    <w:rsid w:val="009D248F"/>
    <w:rsid w:val="00A22502"/>
    <w:rsid w:val="00A8100E"/>
    <w:rsid w:val="00A8572E"/>
    <w:rsid w:val="00B543D6"/>
    <w:rsid w:val="00C31417"/>
    <w:rsid w:val="00CE4827"/>
    <w:rsid w:val="00CF12DD"/>
    <w:rsid w:val="00CF7A91"/>
    <w:rsid w:val="00D2006E"/>
    <w:rsid w:val="00D36F51"/>
    <w:rsid w:val="00D97912"/>
    <w:rsid w:val="00DB1DD1"/>
    <w:rsid w:val="00DC09D0"/>
    <w:rsid w:val="00E0332B"/>
    <w:rsid w:val="00E11DC4"/>
    <w:rsid w:val="00E222BC"/>
    <w:rsid w:val="00E25761"/>
    <w:rsid w:val="00E4197A"/>
    <w:rsid w:val="00EE0F97"/>
    <w:rsid w:val="00FF4AB2"/>
    <w:rsid w:val="01043138"/>
    <w:rsid w:val="01944FA6"/>
    <w:rsid w:val="019A362C"/>
    <w:rsid w:val="01B81CE2"/>
    <w:rsid w:val="01FDFED8"/>
    <w:rsid w:val="024824CB"/>
    <w:rsid w:val="02944B48"/>
    <w:rsid w:val="02A75D67"/>
    <w:rsid w:val="02C81B1F"/>
    <w:rsid w:val="02EB0DDA"/>
    <w:rsid w:val="030176FB"/>
    <w:rsid w:val="03115797"/>
    <w:rsid w:val="032640B7"/>
    <w:rsid w:val="0344693D"/>
    <w:rsid w:val="03713232"/>
    <w:rsid w:val="037E333C"/>
    <w:rsid w:val="03867954"/>
    <w:rsid w:val="039A65F4"/>
    <w:rsid w:val="03A34A22"/>
    <w:rsid w:val="03DB06E3"/>
    <w:rsid w:val="03FF761E"/>
    <w:rsid w:val="041C7281"/>
    <w:rsid w:val="046E56D3"/>
    <w:rsid w:val="04822175"/>
    <w:rsid w:val="049D07A1"/>
    <w:rsid w:val="04C13E58"/>
    <w:rsid w:val="04EF6F26"/>
    <w:rsid w:val="050A0DD5"/>
    <w:rsid w:val="052E228E"/>
    <w:rsid w:val="05500DC5"/>
    <w:rsid w:val="05567BCF"/>
    <w:rsid w:val="057E3312"/>
    <w:rsid w:val="05A84156"/>
    <w:rsid w:val="05DF682E"/>
    <w:rsid w:val="05EA0443"/>
    <w:rsid w:val="05FD1662"/>
    <w:rsid w:val="05FD5DDE"/>
    <w:rsid w:val="0643270C"/>
    <w:rsid w:val="064552D9"/>
    <w:rsid w:val="06744B24"/>
    <w:rsid w:val="07023747"/>
    <w:rsid w:val="07044413"/>
    <w:rsid w:val="07115CA7"/>
    <w:rsid w:val="071B4038"/>
    <w:rsid w:val="072645C7"/>
    <w:rsid w:val="07485E01"/>
    <w:rsid w:val="07514512"/>
    <w:rsid w:val="07581923"/>
    <w:rsid w:val="075D4AA1"/>
    <w:rsid w:val="075F3828"/>
    <w:rsid w:val="078B7B6F"/>
    <w:rsid w:val="078C7FF7"/>
    <w:rsid w:val="07911A78"/>
    <w:rsid w:val="07C025C7"/>
    <w:rsid w:val="08161CD1"/>
    <w:rsid w:val="083D5414"/>
    <w:rsid w:val="08716B68"/>
    <w:rsid w:val="08C607F0"/>
    <w:rsid w:val="08D33389"/>
    <w:rsid w:val="08F5187C"/>
    <w:rsid w:val="09093863"/>
    <w:rsid w:val="09120680"/>
    <w:rsid w:val="09467E45"/>
    <w:rsid w:val="095835E2"/>
    <w:rsid w:val="09B7628A"/>
    <w:rsid w:val="09B86E7F"/>
    <w:rsid w:val="09B94900"/>
    <w:rsid w:val="09DB182A"/>
    <w:rsid w:val="09F102DE"/>
    <w:rsid w:val="09FA0BED"/>
    <w:rsid w:val="0A2E5BC4"/>
    <w:rsid w:val="0A31601A"/>
    <w:rsid w:val="0A67379F"/>
    <w:rsid w:val="0A934996"/>
    <w:rsid w:val="0AEE6EFC"/>
    <w:rsid w:val="0B212A46"/>
    <w:rsid w:val="0B36251A"/>
    <w:rsid w:val="0B5811BD"/>
    <w:rsid w:val="0B657E3F"/>
    <w:rsid w:val="0B6C77CA"/>
    <w:rsid w:val="0B6DB57F"/>
    <w:rsid w:val="0B7A4561"/>
    <w:rsid w:val="0B98759A"/>
    <w:rsid w:val="0BAA40F2"/>
    <w:rsid w:val="0BCE1DED"/>
    <w:rsid w:val="0BF3076F"/>
    <w:rsid w:val="0C154760"/>
    <w:rsid w:val="0C203DF5"/>
    <w:rsid w:val="0C43782D"/>
    <w:rsid w:val="0C8F3FF8"/>
    <w:rsid w:val="0CC41080"/>
    <w:rsid w:val="0D165607"/>
    <w:rsid w:val="0D1E4C12"/>
    <w:rsid w:val="0D5C3D84"/>
    <w:rsid w:val="0D706F9B"/>
    <w:rsid w:val="0D7B752A"/>
    <w:rsid w:val="0E20133D"/>
    <w:rsid w:val="0E3C65A3"/>
    <w:rsid w:val="0E3E08ED"/>
    <w:rsid w:val="0E6971B2"/>
    <w:rsid w:val="0E773F4A"/>
    <w:rsid w:val="0E814859"/>
    <w:rsid w:val="0E855450"/>
    <w:rsid w:val="0E855A53"/>
    <w:rsid w:val="0EC904D1"/>
    <w:rsid w:val="0F183AD3"/>
    <w:rsid w:val="0F3BB7B5"/>
    <w:rsid w:val="0FB129CD"/>
    <w:rsid w:val="0FB53C51"/>
    <w:rsid w:val="0FC803F4"/>
    <w:rsid w:val="0FFC1B47"/>
    <w:rsid w:val="10183676"/>
    <w:rsid w:val="103764A9"/>
    <w:rsid w:val="108738F3"/>
    <w:rsid w:val="10B7227A"/>
    <w:rsid w:val="10E243C3"/>
    <w:rsid w:val="10F63064"/>
    <w:rsid w:val="11795057"/>
    <w:rsid w:val="11B35524"/>
    <w:rsid w:val="120A7896"/>
    <w:rsid w:val="12111232"/>
    <w:rsid w:val="121A40C0"/>
    <w:rsid w:val="12A926AA"/>
    <w:rsid w:val="12F066A2"/>
    <w:rsid w:val="13407C10"/>
    <w:rsid w:val="13411924"/>
    <w:rsid w:val="134947B2"/>
    <w:rsid w:val="13727D5F"/>
    <w:rsid w:val="138C2C9D"/>
    <w:rsid w:val="13EE5FAB"/>
    <w:rsid w:val="14247998"/>
    <w:rsid w:val="143B2E41"/>
    <w:rsid w:val="14780E8F"/>
    <w:rsid w:val="149931DA"/>
    <w:rsid w:val="14AB30F5"/>
    <w:rsid w:val="14BE0241"/>
    <w:rsid w:val="14BF1D95"/>
    <w:rsid w:val="14E93864"/>
    <w:rsid w:val="14F13869"/>
    <w:rsid w:val="15003E83"/>
    <w:rsid w:val="151F5998"/>
    <w:rsid w:val="156825AE"/>
    <w:rsid w:val="156F1F39"/>
    <w:rsid w:val="158043D2"/>
    <w:rsid w:val="158E49EC"/>
    <w:rsid w:val="15960AEB"/>
    <w:rsid w:val="15B75BB0"/>
    <w:rsid w:val="16190DF9"/>
    <w:rsid w:val="162F4575"/>
    <w:rsid w:val="16436D08"/>
    <w:rsid w:val="16576633"/>
    <w:rsid w:val="16702354"/>
    <w:rsid w:val="1677276B"/>
    <w:rsid w:val="16861701"/>
    <w:rsid w:val="16900E36"/>
    <w:rsid w:val="16A06855"/>
    <w:rsid w:val="16FF5B47"/>
    <w:rsid w:val="171A0902"/>
    <w:rsid w:val="17282762"/>
    <w:rsid w:val="174043B2"/>
    <w:rsid w:val="174540BD"/>
    <w:rsid w:val="174E6F4B"/>
    <w:rsid w:val="1772678E"/>
    <w:rsid w:val="17753588"/>
    <w:rsid w:val="1781069F"/>
    <w:rsid w:val="17BC177E"/>
    <w:rsid w:val="17CD529B"/>
    <w:rsid w:val="17E3163D"/>
    <w:rsid w:val="18163111"/>
    <w:rsid w:val="18181E97"/>
    <w:rsid w:val="181F1822"/>
    <w:rsid w:val="18214D25"/>
    <w:rsid w:val="183C0DD2"/>
    <w:rsid w:val="185A0382"/>
    <w:rsid w:val="185C34E9"/>
    <w:rsid w:val="18616658"/>
    <w:rsid w:val="18725A29"/>
    <w:rsid w:val="18987DB2"/>
    <w:rsid w:val="18A02D36"/>
    <w:rsid w:val="18B72DA4"/>
    <w:rsid w:val="18BF5B28"/>
    <w:rsid w:val="18E1071A"/>
    <w:rsid w:val="18F90024"/>
    <w:rsid w:val="190E0FAE"/>
    <w:rsid w:val="193B5472"/>
    <w:rsid w:val="19543E1D"/>
    <w:rsid w:val="196056B2"/>
    <w:rsid w:val="19651B39"/>
    <w:rsid w:val="196A5FC1"/>
    <w:rsid w:val="19767855"/>
    <w:rsid w:val="198F297E"/>
    <w:rsid w:val="19B760C0"/>
    <w:rsid w:val="19CD0264"/>
    <w:rsid w:val="19F03C9C"/>
    <w:rsid w:val="1A5439C0"/>
    <w:rsid w:val="1AA72145"/>
    <w:rsid w:val="1B3A29B9"/>
    <w:rsid w:val="1B6260FC"/>
    <w:rsid w:val="1BA345AF"/>
    <w:rsid w:val="1BA942F2"/>
    <w:rsid w:val="1BB70642"/>
    <w:rsid w:val="1BEB6F5A"/>
    <w:rsid w:val="1C100CDD"/>
    <w:rsid w:val="1C404465"/>
    <w:rsid w:val="1C8D4564"/>
    <w:rsid w:val="1C912F6B"/>
    <w:rsid w:val="1C993BFA"/>
    <w:rsid w:val="1C9C4B7F"/>
    <w:rsid w:val="1CBE05B7"/>
    <w:rsid w:val="1CDF0CE2"/>
    <w:rsid w:val="1CE2139F"/>
    <w:rsid w:val="1D0A5CEF"/>
    <w:rsid w:val="1D3102EB"/>
    <w:rsid w:val="1D3C0E85"/>
    <w:rsid w:val="1D3F7C0B"/>
    <w:rsid w:val="1D48051B"/>
    <w:rsid w:val="1D907783"/>
    <w:rsid w:val="1DD352C0"/>
    <w:rsid w:val="1DE8351C"/>
    <w:rsid w:val="1E150B68"/>
    <w:rsid w:val="1E3D42AB"/>
    <w:rsid w:val="1EA13FCF"/>
    <w:rsid w:val="1EB52C70"/>
    <w:rsid w:val="1EB728F0"/>
    <w:rsid w:val="1F0307F1"/>
    <w:rsid w:val="1F7155A1"/>
    <w:rsid w:val="1FB27690"/>
    <w:rsid w:val="1FCD0CAE"/>
    <w:rsid w:val="1FD62D47"/>
    <w:rsid w:val="1FE346CD"/>
    <w:rsid w:val="201C34BC"/>
    <w:rsid w:val="20346964"/>
    <w:rsid w:val="203E5110"/>
    <w:rsid w:val="204E750E"/>
    <w:rsid w:val="20577E1E"/>
    <w:rsid w:val="20657133"/>
    <w:rsid w:val="20672636"/>
    <w:rsid w:val="206E4124"/>
    <w:rsid w:val="207451CF"/>
    <w:rsid w:val="20963186"/>
    <w:rsid w:val="20A90B21"/>
    <w:rsid w:val="20AA65A3"/>
    <w:rsid w:val="20FD05AB"/>
    <w:rsid w:val="20FD3E2F"/>
    <w:rsid w:val="21207866"/>
    <w:rsid w:val="212C10FB"/>
    <w:rsid w:val="2152133A"/>
    <w:rsid w:val="21607D4A"/>
    <w:rsid w:val="21644AD8"/>
    <w:rsid w:val="21754D72"/>
    <w:rsid w:val="217D7C00"/>
    <w:rsid w:val="21816606"/>
    <w:rsid w:val="219F5BB6"/>
    <w:rsid w:val="21E408A9"/>
    <w:rsid w:val="21F4200B"/>
    <w:rsid w:val="22723990"/>
    <w:rsid w:val="22BF3A8F"/>
    <w:rsid w:val="22DB60A7"/>
    <w:rsid w:val="22FC5AF3"/>
    <w:rsid w:val="23474C6D"/>
    <w:rsid w:val="2377323E"/>
    <w:rsid w:val="23C47ABA"/>
    <w:rsid w:val="23C742C2"/>
    <w:rsid w:val="23CC074A"/>
    <w:rsid w:val="23D22653"/>
    <w:rsid w:val="240366A5"/>
    <w:rsid w:val="24315EF0"/>
    <w:rsid w:val="24484ADF"/>
    <w:rsid w:val="24776664"/>
    <w:rsid w:val="247A75E9"/>
    <w:rsid w:val="248014F2"/>
    <w:rsid w:val="248E3AD4"/>
    <w:rsid w:val="24AC5839"/>
    <w:rsid w:val="24E84F70"/>
    <w:rsid w:val="25005F8E"/>
    <w:rsid w:val="250329C5"/>
    <w:rsid w:val="255D1DDA"/>
    <w:rsid w:val="258C4EA7"/>
    <w:rsid w:val="25A30350"/>
    <w:rsid w:val="25EB6F4F"/>
    <w:rsid w:val="260F1BFD"/>
    <w:rsid w:val="2616700A"/>
    <w:rsid w:val="26274D25"/>
    <w:rsid w:val="2649655F"/>
    <w:rsid w:val="266D7A18"/>
    <w:rsid w:val="268C4A4A"/>
    <w:rsid w:val="26A86953"/>
    <w:rsid w:val="26C6392A"/>
    <w:rsid w:val="26D01CBB"/>
    <w:rsid w:val="26F92E80"/>
    <w:rsid w:val="271D088B"/>
    <w:rsid w:val="27563219"/>
    <w:rsid w:val="276734B3"/>
    <w:rsid w:val="27751E41"/>
    <w:rsid w:val="27991704"/>
    <w:rsid w:val="27AD3C28"/>
    <w:rsid w:val="2851389E"/>
    <w:rsid w:val="286D43E2"/>
    <w:rsid w:val="28780D72"/>
    <w:rsid w:val="28CE6E9F"/>
    <w:rsid w:val="28ED0D7B"/>
    <w:rsid w:val="28EF7AB7"/>
    <w:rsid w:val="28F22C3A"/>
    <w:rsid w:val="295938E3"/>
    <w:rsid w:val="295A7167"/>
    <w:rsid w:val="29A617E4"/>
    <w:rsid w:val="29BC47D5"/>
    <w:rsid w:val="29CE38A2"/>
    <w:rsid w:val="29FB0EEE"/>
    <w:rsid w:val="2A08026C"/>
    <w:rsid w:val="2A225B7E"/>
    <w:rsid w:val="2A24682F"/>
    <w:rsid w:val="2A2655B6"/>
    <w:rsid w:val="2A34234D"/>
    <w:rsid w:val="2A6F6CAF"/>
    <w:rsid w:val="2A930168"/>
    <w:rsid w:val="2A964E9E"/>
    <w:rsid w:val="2AE17EE7"/>
    <w:rsid w:val="2B063049"/>
    <w:rsid w:val="2B1264B8"/>
    <w:rsid w:val="2B231D3E"/>
    <w:rsid w:val="2B7B4862"/>
    <w:rsid w:val="2BBB344E"/>
    <w:rsid w:val="2BFB6435"/>
    <w:rsid w:val="2BFE2C3D"/>
    <w:rsid w:val="2C183950"/>
    <w:rsid w:val="2C2475FA"/>
    <w:rsid w:val="2C98743F"/>
    <w:rsid w:val="2CAA6F91"/>
    <w:rsid w:val="2CC441E2"/>
    <w:rsid w:val="2CC837D7"/>
    <w:rsid w:val="2D0D1776"/>
    <w:rsid w:val="2D54576D"/>
    <w:rsid w:val="2D643568"/>
    <w:rsid w:val="2D7C30AE"/>
    <w:rsid w:val="2DA54273"/>
    <w:rsid w:val="2DCA0C2F"/>
    <w:rsid w:val="2DCFA5ED"/>
    <w:rsid w:val="2DDE673F"/>
    <w:rsid w:val="2E005886"/>
    <w:rsid w:val="2E16582B"/>
    <w:rsid w:val="2E1C51B6"/>
    <w:rsid w:val="2E323AD6"/>
    <w:rsid w:val="2E3E78E9"/>
    <w:rsid w:val="2E8C0CED"/>
    <w:rsid w:val="2EB021A6"/>
    <w:rsid w:val="2EC7E070"/>
    <w:rsid w:val="2ECE4FDA"/>
    <w:rsid w:val="2EDD77F3"/>
    <w:rsid w:val="2EEB441C"/>
    <w:rsid w:val="2EFE5CC5"/>
    <w:rsid w:val="2F0476B2"/>
    <w:rsid w:val="2F22267B"/>
    <w:rsid w:val="2F600CC5"/>
    <w:rsid w:val="2F747966"/>
    <w:rsid w:val="2F8B843E"/>
    <w:rsid w:val="2FB616D4"/>
    <w:rsid w:val="2FD71C09"/>
    <w:rsid w:val="2FFB6945"/>
    <w:rsid w:val="30702187"/>
    <w:rsid w:val="30797F80"/>
    <w:rsid w:val="30825925"/>
    <w:rsid w:val="30A070D3"/>
    <w:rsid w:val="30D269A9"/>
    <w:rsid w:val="30D46628"/>
    <w:rsid w:val="30FA0A66"/>
    <w:rsid w:val="30FA467C"/>
    <w:rsid w:val="310338F4"/>
    <w:rsid w:val="31DF7DE0"/>
    <w:rsid w:val="31EA3BF2"/>
    <w:rsid w:val="31F74D99"/>
    <w:rsid w:val="31F82F08"/>
    <w:rsid w:val="32235051"/>
    <w:rsid w:val="32280CB0"/>
    <w:rsid w:val="324C3E11"/>
    <w:rsid w:val="325D3F31"/>
    <w:rsid w:val="32676A3F"/>
    <w:rsid w:val="32A70C30"/>
    <w:rsid w:val="32CB3418"/>
    <w:rsid w:val="32CB6763"/>
    <w:rsid w:val="331A42E4"/>
    <w:rsid w:val="332B5883"/>
    <w:rsid w:val="333A261A"/>
    <w:rsid w:val="335608C6"/>
    <w:rsid w:val="337A5602"/>
    <w:rsid w:val="33BB606C"/>
    <w:rsid w:val="33C2127A"/>
    <w:rsid w:val="33C87900"/>
    <w:rsid w:val="33CD760B"/>
    <w:rsid w:val="34184207"/>
    <w:rsid w:val="34226D15"/>
    <w:rsid w:val="344A6670"/>
    <w:rsid w:val="346B2634"/>
    <w:rsid w:val="346C70D4"/>
    <w:rsid w:val="348957C0"/>
    <w:rsid w:val="348E4E58"/>
    <w:rsid w:val="34BA5F8F"/>
    <w:rsid w:val="34C21D26"/>
    <w:rsid w:val="34F77FF2"/>
    <w:rsid w:val="3528253D"/>
    <w:rsid w:val="352C2A4A"/>
    <w:rsid w:val="354A47B9"/>
    <w:rsid w:val="355D101B"/>
    <w:rsid w:val="360949B7"/>
    <w:rsid w:val="360B4637"/>
    <w:rsid w:val="3614613C"/>
    <w:rsid w:val="36300FF3"/>
    <w:rsid w:val="36324235"/>
    <w:rsid w:val="36386400"/>
    <w:rsid w:val="366D46DB"/>
    <w:rsid w:val="36807E79"/>
    <w:rsid w:val="36867804"/>
    <w:rsid w:val="36923616"/>
    <w:rsid w:val="36A50FB2"/>
    <w:rsid w:val="36BE5504"/>
    <w:rsid w:val="36C1580D"/>
    <w:rsid w:val="36EA3CA5"/>
    <w:rsid w:val="36EB7528"/>
    <w:rsid w:val="36FE0747"/>
    <w:rsid w:val="3705575F"/>
    <w:rsid w:val="37250607"/>
    <w:rsid w:val="374A2DC5"/>
    <w:rsid w:val="374F7A6E"/>
    <w:rsid w:val="375201D1"/>
    <w:rsid w:val="375A77DC"/>
    <w:rsid w:val="37684573"/>
    <w:rsid w:val="3776776D"/>
    <w:rsid w:val="379D6FCC"/>
    <w:rsid w:val="37BD797A"/>
    <w:rsid w:val="37FF4024"/>
    <w:rsid w:val="38575D8D"/>
    <w:rsid w:val="386B2E9C"/>
    <w:rsid w:val="388B11D3"/>
    <w:rsid w:val="38DB2257"/>
    <w:rsid w:val="390C2A26"/>
    <w:rsid w:val="392635CF"/>
    <w:rsid w:val="39284554"/>
    <w:rsid w:val="39463B04"/>
    <w:rsid w:val="39515718"/>
    <w:rsid w:val="39741150"/>
    <w:rsid w:val="399051FD"/>
    <w:rsid w:val="39B74423"/>
    <w:rsid w:val="39DE2D7E"/>
    <w:rsid w:val="3A32028A"/>
    <w:rsid w:val="3A397C14"/>
    <w:rsid w:val="3A552BE1"/>
    <w:rsid w:val="3A682CE2"/>
    <w:rsid w:val="3A7F4B06"/>
    <w:rsid w:val="3ACE0108"/>
    <w:rsid w:val="3AD24910"/>
    <w:rsid w:val="3AD72D46"/>
    <w:rsid w:val="3AEF063D"/>
    <w:rsid w:val="3B00415A"/>
    <w:rsid w:val="3B0D3470"/>
    <w:rsid w:val="3B153922"/>
    <w:rsid w:val="3B23567C"/>
    <w:rsid w:val="3B595AEE"/>
    <w:rsid w:val="3B7F5183"/>
    <w:rsid w:val="3B903A49"/>
    <w:rsid w:val="3BA448B8"/>
    <w:rsid w:val="3BB5C809"/>
    <w:rsid w:val="3BFE407D"/>
    <w:rsid w:val="3C171239"/>
    <w:rsid w:val="3C26613B"/>
    <w:rsid w:val="3C57218D"/>
    <w:rsid w:val="3C7C10C8"/>
    <w:rsid w:val="3C8A5E5F"/>
    <w:rsid w:val="3CA627A3"/>
    <w:rsid w:val="3CBA69AE"/>
    <w:rsid w:val="3CD815C8"/>
    <w:rsid w:val="3CE1686E"/>
    <w:rsid w:val="3CFA521A"/>
    <w:rsid w:val="3CFCC7E1"/>
    <w:rsid w:val="3CFD619E"/>
    <w:rsid w:val="3D034824"/>
    <w:rsid w:val="3D284A64"/>
    <w:rsid w:val="3D4A629D"/>
    <w:rsid w:val="3D4C5F1D"/>
    <w:rsid w:val="3D5236AA"/>
    <w:rsid w:val="3D6360B8"/>
    <w:rsid w:val="3D674549"/>
    <w:rsid w:val="3D6DC81A"/>
    <w:rsid w:val="3D827D00"/>
    <w:rsid w:val="3D8E220A"/>
    <w:rsid w:val="3DA90835"/>
    <w:rsid w:val="3DEC0025"/>
    <w:rsid w:val="3E18216E"/>
    <w:rsid w:val="3E5654D6"/>
    <w:rsid w:val="3E6F05FE"/>
    <w:rsid w:val="3E8A6C2A"/>
    <w:rsid w:val="3EC30088"/>
    <w:rsid w:val="3EDF6A9D"/>
    <w:rsid w:val="3F281512"/>
    <w:rsid w:val="3F380047"/>
    <w:rsid w:val="3F4D4769"/>
    <w:rsid w:val="3FAC0006"/>
    <w:rsid w:val="3FAE2DC1"/>
    <w:rsid w:val="3FBF633F"/>
    <w:rsid w:val="3FCF3277"/>
    <w:rsid w:val="3FF74C02"/>
    <w:rsid w:val="3FFB8CE0"/>
    <w:rsid w:val="3FFF13A3"/>
    <w:rsid w:val="40170548"/>
    <w:rsid w:val="403768E5"/>
    <w:rsid w:val="40751C4D"/>
    <w:rsid w:val="40757A4F"/>
    <w:rsid w:val="408F27F7"/>
    <w:rsid w:val="40973487"/>
    <w:rsid w:val="40BE58C5"/>
    <w:rsid w:val="40BF6BC9"/>
    <w:rsid w:val="40E16D7E"/>
    <w:rsid w:val="40E35B04"/>
    <w:rsid w:val="40FB31AB"/>
    <w:rsid w:val="41240AEC"/>
    <w:rsid w:val="41403B7D"/>
    <w:rsid w:val="41456AA2"/>
    <w:rsid w:val="41485829"/>
    <w:rsid w:val="41980AAB"/>
    <w:rsid w:val="41D73E13"/>
    <w:rsid w:val="42200252"/>
    <w:rsid w:val="423A1EDE"/>
    <w:rsid w:val="424234C2"/>
    <w:rsid w:val="4252155E"/>
    <w:rsid w:val="42675C80"/>
    <w:rsid w:val="42772697"/>
    <w:rsid w:val="42845230"/>
    <w:rsid w:val="429F385C"/>
    <w:rsid w:val="42A60F17"/>
    <w:rsid w:val="43006D78"/>
    <w:rsid w:val="432C4745"/>
    <w:rsid w:val="43380557"/>
    <w:rsid w:val="4359650D"/>
    <w:rsid w:val="436D51AE"/>
    <w:rsid w:val="43835153"/>
    <w:rsid w:val="439B27FA"/>
    <w:rsid w:val="43A200BC"/>
    <w:rsid w:val="43AE3A19"/>
    <w:rsid w:val="43CB1CC4"/>
    <w:rsid w:val="43D46490"/>
    <w:rsid w:val="43D8485D"/>
    <w:rsid w:val="43DC3BB0"/>
    <w:rsid w:val="43F53EC4"/>
    <w:rsid w:val="44091827"/>
    <w:rsid w:val="44146F74"/>
    <w:rsid w:val="445A645C"/>
    <w:rsid w:val="44DB3186"/>
    <w:rsid w:val="44EE16F6"/>
    <w:rsid w:val="45092448"/>
    <w:rsid w:val="45154265"/>
    <w:rsid w:val="456554AD"/>
    <w:rsid w:val="4568541B"/>
    <w:rsid w:val="4568626D"/>
    <w:rsid w:val="457A1A8C"/>
    <w:rsid w:val="4583011C"/>
    <w:rsid w:val="45A01C4B"/>
    <w:rsid w:val="45AA255A"/>
    <w:rsid w:val="45EC77AA"/>
    <w:rsid w:val="46562673"/>
    <w:rsid w:val="468653C0"/>
    <w:rsid w:val="46980B5E"/>
    <w:rsid w:val="469D0869"/>
    <w:rsid w:val="46B94916"/>
    <w:rsid w:val="46E95465"/>
    <w:rsid w:val="47430FF6"/>
    <w:rsid w:val="47633AAA"/>
    <w:rsid w:val="47A70D1B"/>
    <w:rsid w:val="47BE0940"/>
    <w:rsid w:val="47BFB034"/>
    <w:rsid w:val="47E37F35"/>
    <w:rsid w:val="481C455D"/>
    <w:rsid w:val="482E7CFA"/>
    <w:rsid w:val="48372B88"/>
    <w:rsid w:val="483F7F95"/>
    <w:rsid w:val="4873716A"/>
    <w:rsid w:val="488D5C53"/>
    <w:rsid w:val="48900C98"/>
    <w:rsid w:val="48E32CA1"/>
    <w:rsid w:val="4908675A"/>
    <w:rsid w:val="491F5084"/>
    <w:rsid w:val="494055B9"/>
    <w:rsid w:val="49440C70"/>
    <w:rsid w:val="495C4EE9"/>
    <w:rsid w:val="498118A6"/>
    <w:rsid w:val="49B746CF"/>
    <w:rsid w:val="49D234D5"/>
    <w:rsid w:val="4A2F1ED6"/>
    <w:rsid w:val="4A34714B"/>
    <w:rsid w:val="4A396116"/>
    <w:rsid w:val="4A706FB0"/>
    <w:rsid w:val="4A901A63"/>
    <w:rsid w:val="4A9A790E"/>
    <w:rsid w:val="4AE5116D"/>
    <w:rsid w:val="4B080428"/>
    <w:rsid w:val="4B862874"/>
    <w:rsid w:val="4B874579"/>
    <w:rsid w:val="4BA86CAC"/>
    <w:rsid w:val="4BBC3706"/>
    <w:rsid w:val="4BC30B5B"/>
    <w:rsid w:val="4C4A42B7"/>
    <w:rsid w:val="4C680A9E"/>
    <w:rsid w:val="4C714C8A"/>
    <w:rsid w:val="4C947BAF"/>
    <w:rsid w:val="4CA965C0"/>
    <w:rsid w:val="4CB33CE7"/>
    <w:rsid w:val="4CD7191D"/>
    <w:rsid w:val="4D7661AD"/>
    <w:rsid w:val="4D7F238E"/>
    <w:rsid w:val="4D950A56"/>
    <w:rsid w:val="4D9D76B2"/>
    <w:rsid w:val="4DB52F74"/>
    <w:rsid w:val="4DB56D8D"/>
    <w:rsid w:val="4E092F93"/>
    <w:rsid w:val="4E0A0C2A"/>
    <w:rsid w:val="4E19322E"/>
    <w:rsid w:val="4E4A17FE"/>
    <w:rsid w:val="4E570B14"/>
    <w:rsid w:val="4E59070A"/>
    <w:rsid w:val="4E76FE70"/>
    <w:rsid w:val="4E7BE1ED"/>
    <w:rsid w:val="4E8F44F1"/>
    <w:rsid w:val="4EB5692F"/>
    <w:rsid w:val="4EBF6656"/>
    <w:rsid w:val="4ED571E4"/>
    <w:rsid w:val="4F1869D4"/>
    <w:rsid w:val="4F365F84"/>
    <w:rsid w:val="4F631BE7"/>
    <w:rsid w:val="4F6B5159"/>
    <w:rsid w:val="4F760F6C"/>
    <w:rsid w:val="4F80187B"/>
    <w:rsid w:val="4F8F7917"/>
    <w:rsid w:val="4FA01DB0"/>
    <w:rsid w:val="4FBD67D3"/>
    <w:rsid w:val="4FF108B5"/>
    <w:rsid w:val="5045411C"/>
    <w:rsid w:val="5059263D"/>
    <w:rsid w:val="506917F9"/>
    <w:rsid w:val="50750E8F"/>
    <w:rsid w:val="507C629B"/>
    <w:rsid w:val="508E61B5"/>
    <w:rsid w:val="50A97291"/>
    <w:rsid w:val="50C1350C"/>
    <w:rsid w:val="50D43AF1"/>
    <w:rsid w:val="50EC093D"/>
    <w:rsid w:val="50FA10E8"/>
    <w:rsid w:val="512173A0"/>
    <w:rsid w:val="51237D2E"/>
    <w:rsid w:val="5146601D"/>
    <w:rsid w:val="51544FBB"/>
    <w:rsid w:val="51573798"/>
    <w:rsid w:val="51851ED8"/>
    <w:rsid w:val="51984A67"/>
    <w:rsid w:val="519A6B68"/>
    <w:rsid w:val="519C4174"/>
    <w:rsid w:val="51A61200"/>
    <w:rsid w:val="51CD656F"/>
    <w:rsid w:val="51DD4378"/>
    <w:rsid w:val="52050320"/>
    <w:rsid w:val="52245352"/>
    <w:rsid w:val="52257019"/>
    <w:rsid w:val="5249428D"/>
    <w:rsid w:val="52571024"/>
    <w:rsid w:val="526A2243"/>
    <w:rsid w:val="528A0579"/>
    <w:rsid w:val="528A4CF6"/>
    <w:rsid w:val="52A36B9E"/>
    <w:rsid w:val="52AD7835"/>
    <w:rsid w:val="52B85BC6"/>
    <w:rsid w:val="53290EEF"/>
    <w:rsid w:val="53536B2C"/>
    <w:rsid w:val="535940CA"/>
    <w:rsid w:val="537B1187"/>
    <w:rsid w:val="53994EB3"/>
    <w:rsid w:val="53DF8118"/>
    <w:rsid w:val="53E265AD"/>
    <w:rsid w:val="53F72CCF"/>
    <w:rsid w:val="543F0EC5"/>
    <w:rsid w:val="544467E1"/>
    <w:rsid w:val="548F1F48"/>
    <w:rsid w:val="549171C8"/>
    <w:rsid w:val="54D06235"/>
    <w:rsid w:val="55147D89"/>
    <w:rsid w:val="551B7296"/>
    <w:rsid w:val="555E131C"/>
    <w:rsid w:val="55C75AC1"/>
    <w:rsid w:val="55F8151B"/>
    <w:rsid w:val="560403F4"/>
    <w:rsid w:val="562B51ED"/>
    <w:rsid w:val="56355AFC"/>
    <w:rsid w:val="56687250"/>
    <w:rsid w:val="56696EC6"/>
    <w:rsid w:val="569270E3"/>
    <w:rsid w:val="56BE7FDF"/>
    <w:rsid w:val="57295110"/>
    <w:rsid w:val="573E5FAE"/>
    <w:rsid w:val="574F1ACC"/>
    <w:rsid w:val="57622CEB"/>
    <w:rsid w:val="578D613C"/>
    <w:rsid w:val="579F2B50"/>
    <w:rsid w:val="57D0316C"/>
    <w:rsid w:val="58083479"/>
    <w:rsid w:val="580D5382"/>
    <w:rsid w:val="58273D2E"/>
    <w:rsid w:val="58481CE4"/>
    <w:rsid w:val="587305AA"/>
    <w:rsid w:val="588D07C9"/>
    <w:rsid w:val="590C52A5"/>
    <w:rsid w:val="591304B3"/>
    <w:rsid w:val="5918493B"/>
    <w:rsid w:val="592077C9"/>
    <w:rsid w:val="592A4F45"/>
    <w:rsid w:val="59452BF2"/>
    <w:rsid w:val="59455CF1"/>
    <w:rsid w:val="594F4A95"/>
    <w:rsid w:val="59525A19"/>
    <w:rsid w:val="59587923"/>
    <w:rsid w:val="596515C1"/>
    <w:rsid w:val="598A5B73"/>
    <w:rsid w:val="59951986"/>
    <w:rsid w:val="59AD702D"/>
    <w:rsid w:val="59F2455A"/>
    <w:rsid w:val="5A137381"/>
    <w:rsid w:val="5A4A272E"/>
    <w:rsid w:val="5A66425D"/>
    <w:rsid w:val="5A862593"/>
    <w:rsid w:val="5AA575C5"/>
    <w:rsid w:val="5AB20E59"/>
    <w:rsid w:val="5B0950EB"/>
    <w:rsid w:val="5B1146F6"/>
    <w:rsid w:val="5B1D3D8B"/>
    <w:rsid w:val="5B761E9C"/>
    <w:rsid w:val="5B952750"/>
    <w:rsid w:val="5BA77432"/>
    <w:rsid w:val="5BB67402"/>
    <w:rsid w:val="5BC03595"/>
    <w:rsid w:val="5BE07BBF"/>
    <w:rsid w:val="5BEE20A9"/>
    <w:rsid w:val="5BF27267"/>
    <w:rsid w:val="5BF319D5"/>
    <w:rsid w:val="5C0A490D"/>
    <w:rsid w:val="5CAD52D7"/>
    <w:rsid w:val="5CC84BAA"/>
    <w:rsid w:val="5CF86B15"/>
    <w:rsid w:val="5CF94596"/>
    <w:rsid w:val="5D39757E"/>
    <w:rsid w:val="5D6D5FC3"/>
    <w:rsid w:val="5D6E4936"/>
    <w:rsid w:val="5D7671E0"/>
    <w:rsid w:val="5D872059"/>
    <w:rsid w:val="5D8C1586"/>
    <w:rsid w:val="5DA46C2D"/>
    <w:rsid w:val="5DB15F43"/>
    <w:rsid w:val="5DC56AA2"/>
    <w:rsid w:val="5DEC0F06"/>
    <w:rsid w:val="5E047F4B"/>
    <w:rsid w:val="5E0B6EAA"/>
    <w:rsid w:val="5E0F1B60"/>
    <w:rsid w:val="5E3F2420"/>
    <w:rsid w:val="5E471CBA"/>
    <w:rsid w:val="5E5E5162"/>
    <w:rsid w:val="5E807B63"/>
    <w:rsid w:val="5E941DB9"/>
    <w:rsid w:val="5E9F014A"/>
    <w:rsid w:val="5ED65801"/>
    <w:rsid w:val="5EFD5F65"/>
    <w:rsid w:val="5F393462"/>
    <w:rsid w:val="5F62077C"/>
    <w:rsid w:val="5FB07C0C"/>
    <w:rsid w:val="5FD42745"/>
    <w:rsid w:val="5FFC0086"/>
    <w:rsid w:val="5FFF488E"/>
    <w:rsid w:val="5FFF6518"/>
    <w:rsid w:val="602C6657"/>
    <w:rsid w:val="60490185"/>
    <w:rsid w:val="607E2BDE"/>
    <w:rsid w:val="60AD7EAA"/>
    <w:rsid w:val="60BD7155"/>
    <w:rsid w:val="60C34485"/>
    <w:rsid w:val="60D11AD9"/>
    <w:rsid w:val="60E76D8A"/>
    <w:rsid w:val="61127BCE"/>
    <w:rsid w:val="612B657A"/>
    <w:rsid w:val="6141577C"/>
    <w:rsid w:val="6142619F"/>
    <w:rsid w:val="614822A7"/>
    <w:rsid w:val="614F1C31"/>
    <w:rsid w:val="615109B8"/>
    <w:rsid w:val="61803A85"/>
    <w:rsid w:val="61894979"/>
    <w:rsid w:val="61934CA4"/>
    <w:rsid w:val="61AC7DCD"/>
    <w:rsid w:val="624D5CFE"/>
    <w:rsid w:val="6277079A"/>
    <w:rsid w:val="629965D3"/>
    <w:rsid w:val="62BA4707"/>
    <w:rsid w:val="62E4334D"/>
    <w:rsid w:val="62E919AE"/>
    <w:rsid w:val="63082288"/>
    <w:rsid w:val="631311B4"/>
    <w:rsid w:val="631B676E"/>
    <w:rsid w:val="63390858"/>
    <w:rsid w:val="638D1873"/>
    <w:rsid w:val="63901267"/>
    <w:rsid w:val="63916CE9"/>
    <w:rsid w:val="63AA7892"/>
    <w:rsid w:val="64056CA7"/>
    <w:rsid w:val="641301BB"/>
    <w:rsid w:val="64382979"/>
    <w:rsid w:val="644C7734"/>
    <w:rsid w:val="647933E3"/>
    <w:rsid w:val="64CC53EB"/>
    <w:rsid w:val="651D3EF1"/>
    <w:rsid w:val="655578CE"/>
    <w:rsid w:val="65730AA3"/>
    <w:rsid w:val="65744900"/>
    <w:rsid w:val="659B6C48"/>
    <w:rsid w:val="65B50712"/>
    <w:rsid w:val="65B6666E"/>
    <w:rsid w:val="65C06F7D"/>
    <w:rsid w:val="65DB55A9"/>
    <w:rsid w:val="65DE2474"/>
    <w:rsid w:val="66130F86"/>
    <w:rsid w:val="661A0911"/>
    <w:rsid w:val="662856A8"/>
    <w:rsid w:val="668B794B"/>
    <w:rsid w:val="66AB23FE"/>
    <w:rsid w:val="66BE361D"/>
    <w:rsid w:val="66F76D8C"/>
    <w:rsid w:val="67010C0E"/>
    <w:rsid w:val="67221143"/>
    <w:rsid w:val="6765303E"/>
    <w:rsid w:val="679226FC"/>
    <w:rsid w:val="679D5209"/>
    <w:rsid w:val="67C31C29"/>
    <w:rsid w:val="67CF3460"/>
    <w:rsid w:val="67D0475F"/>
    <w:rsid w:val="67EC5907"/>
    <w:rsid w:val="680107B1"/>
    <w:rsid w:val="68026233"/>
    <w:rsid w:val="688B4E92"/>
    <w:rsid w:val="68A35CE7"/>
    <w:rsid w:val="69157886"/>
    <w:rsid w:val="69293A97"/>
    <w:rsid w:val="693D2737"/>
    <w:rsid w:val="693E4935"/>
    <w:rsid w:val="694569BE"/>
    <w:rsid w:val="698279A8"/>
    <w:rsid w:val="69904740"/>
    <w:rsid w:val="6991693E"/>
    <w:rsid w:val="69983D4A"/>
    <w:rsid w:val="69E563C8"/>
    <w:rsid w:val="69EF255B"/>
    <w:rsid w:val="69F67967"/>
    <w:rsid w:val="69FA2AEA"/>
    <w:rsid w:val="6A755CB7"/>
    <w:rsid w:val="6A7F65C7"/>
    <w:rsid w:val="6A886ED6"/>
    <w:rsid w:val="6AEF20FE"/>
    <w:rsid w:val="6AF872F1"/>
    <w:rsid w:val="6AFB7215"/>
    <w:rsid w:val="6AFF5C1B"/>
    <w:rsid w:val="6B115B35"/>
    <w:rsid w:val="6B1348BC"/>
    <w:rsid w:val="6B3E7D1F"/>
    <w:rsid w:val="6B570828"/>
    <w:rsid w:val="6B7610DD"/>
    <w:rsid w:val="6B95030D"/>
    <w:rsid w:val="6BA01F21"/>
    <w:rsid w:val="6BA8732E"/>
    <w:rsid w:val="6BC85664"/>
    <w:rsid w:val="6BD03F83"/>
    <w:rsid w:val="6BF92269"/>
    <w:rsid w:val="6BFC0FB6"/>
    <w:rsid w:val="6BFF3339"/>
    <w:rsid w:val="6C120F5B"/>
    <w:rsid w:val="6C1808E6"/>
    <w:rsid w:val="6C2211F6"/>
    <w:rsid w:val="6C2D0771"/>
    <w:rsid w:val="6C3F65A7"/>
    <w:rsid w:val="6C4B2963"/>
    <w:rsid w:val="6C631C5F"/>
    <w:rsid w:val="6C642F64"/>
    <w:rsid w:val="6C9B0944"/>
    <w:rsid w:val="6CA01AC4"/>
    <w:rsid w:val="6CAC58D7"/>
    <w:rsid w:val="6CB55EA8"/>
    <w:rsid w:val="6CDF42E6"/>
    <w:rsid w:val="6CE33832"/>
    <w:rsid w:val="6D0D4676"/>
    <w:rsid w:val="6D13323A"/>
    <w:rsid w:val="6D1B03AC"/>
    <w:rsid w:val="6D8C6249"/>
    <w:rsid w:val="6DA41C84"/>
    <w:rsid w:val="6DA66DF3"/>
    <w:rsid w:val="6DB07703"/>
    <w:rsid w:val="6DB22C06"/>
    <w:rsid w:val="6DC22EA0"/>
    <w:rsid w:val="6DC5E4C7"/>
    <w:rsid w:val="6DCD4AB5"/>
    <w:rsid w:val="6DEEF548"/>
    <w:rsid w:val="6DFB0CFA"/>
    <w:rsid w:val="6DFDF301"/>
    <w:rsid w:val="6E0472B5"/>
    <w:rsid w:val="6E1E3060"/>
    <w:rsid w:val="6E2F7194"/>
    <w:rsid w:val="6E310F56"/>
    <w:rsid w:val="6E51148A"/>
    <w:rsid w:val="6E655F2D"/>
    <w:rsid w:val="6E737441"/>
    <w:rsid w:val="6E927CF6"/>
    <w:rsid w:val="6EB53963"/>
    <w:rsid w:val="6EDB13EF"/>
    <w:rsid w:val="6EE07041"/>
    <w:rsid w:val="6F113E47"/>
    <w:rsid w:val="6F516E2F"/>
    <w:rsid w:val="6F6303CE"/>
    <w:rsid w:val="6F8275FE"/>
    <w:rsid w:val="6F972C65"/>
    <w:rsid w:val="6FA73FBA"/>
    <w:rsid w:val="6FED2530"/>
    <w:rsid w:val="6FEE5451"/>
    <w:rsid w:val="6FF10F37"/>
    <w:rsid w:val="6FF269B8"/>
    <w:rsid w:val="6FF82AC0"/>
    <w:rsid w:val="7014496E"/>
    <w:rsid w:val="7038712D"/>
    <w:rsid w:val="703D7D31"/>
    <w:rsid w:val="705A50E3"/>
    <w:rsid w:val="70F80464"/>
    <w:rsid w:val="70FF2DCA"/>
    <w:rsid w:val="71060A7F"/>
    <w:rsid w:val="713B7C54"/>
    <w:rsid w:val="714162DA"/>
    <w:rsid w:val="717410B3"/>
    <w:rsid w:val="717A1BFB"/>
    <w:rsid w:val="71C1592F"/>
    <w:rsid w:val="71C233B0"/>
    <w:rsid w:val="71FB480F"/>
    <w:rsid w:val="720915A6"/>
    <w:rsid w:val="723C59BA"/>
    <w:rsid w:val="72532C9F"/>
    <w:rsid w:val="727047CE"/>
    <w:rsid w:val="727B0D59"/>
    <w:rsid w:val="72902B04"/>
    <w:rsid w:val="72923A89"/>
    <w:rsid w:val="72BE234E"/>
    <w:rsid w:val="72C651DC"/>
    <w:rsid w:val="72E651DB"/>
    <w:rsid w:val="72EA6696"/>
    <w:rsid w:val="732267F0"/>
    <w:rsid w:val="733A771A"/>
    <w:rsid w:val="736672E4"/>
    <w:rsid w:val="73827B0E"/>
    <w:rsid w:val="740C41EF"/>
    <w:rsid w:val="744F7262"/>
    <w:rsid w:val="745D7B9C"/>
    <w:rsid w:val="74671085"/>
    <w:rsid w:val="746F1D15"/>
    <w:rsid w:val="74890AAA"/>
    <w:rsid w:val="74951F55"/>
    <w:rsid w:val="74C5141F"/>
    <w:rsid w:val="75013E35"/>
    <w:rsid w:val="751A21AE"/>
    <w:rsid w:val="753C4A55"/>
    <w:rsid w:val="754A4EFB"/>
    <w:rsid w:val="75766A4A"/>
    <w:rsid w:val="75976F83"/>
    <w:rsid w:val="75A90798"/>
    <w:rsid w:val="75B6202C"/>
    <w:rsid w:val="75B7B38C"/>
    <w:rsid w:val="75F41B11"/>
    <w:rsid w:val="763D100B"/>
    <w:rsid w:val="763F2064"/>
    <w:rsid w:val="765C3ABF"/>
    <w:rsid w:val="76645C2D"/>
    <w:rsid w:val="7683736E"/>
    <w:rsid w:val="769A0227"/>
    <w:rsid w:val="77384726"/>
    <w:rsid w:val="7757234A"/>
    <w:rsid w:val="776B03F9"/>
    <w:rsid w:val="77912E4C"/>
    <w:rsid w:val="77A8025E"/>
    <w:rsid w:val="77B16634"/>
    <w:rsid w:val="77E4483F"/>
    <w:rsid w:val="77FEC25E"/>
    <w:rsid w:val="78121E8B"/>
    <w:rsid w:val="783B0AD1"/>
    <w:rsid w:val="78424BD9"/>
    <w:rsid w:val="78512C75"/>
    <w:rsid w:val="78543BF9"/>
    <w:rsid w:val="78715728"/>
    <w:rsid w:val="78751750"/>
    <w:rsid w:val="787D747A"/>
    <w:rsid w:val="788543C8"/>
    <w:rsid w:val="789D1A6F"/>
    <w:rsid w:val="78A2177A"/>
    <w:rsid w:val="78CE223E"/>
    <w:rsid w:val="78F65981"/>
    <w:rsid w:val="79633DB7"/>
    <w:rsid w:val="797D10DD"/>
    <w:rsid w:val="79B25879"/>
    <w:rsid w:val="79C57B40"/>
    <w:rsid w:val="79F3459F"/>
    <w:rsid w:val="7A373D8F"/>
    <w:rsid w:val="7A6C5E0B"/>
    <w:rsid w:val="7A7A4B0A"/>
    <w:rsid w:val="7A926A27"/>
    <w:rsid w:val="7AB4400A"/>
    <w:rsid w:val="7AFB19C9"/>
    <w:rsid w:val="7B0940E7"/>
    <w:rsid w:val="7B206E8C"/>
    <w:rsid w:val="7B396E35"/>
    <w:rsid w:val="7B5754EB"/>
    <w:rsid w:val="7B5C2A47"/>
    <w:rsid w:val="7BBA3F0B"/>
    <w:rsid w:val="7BC379D8"/>
    <w:rsid w:val="7BCB41E9"/>
    <w:rsid w:val="7BF165E3"/>
    <w:rsid w:val="7BF77229"/>
    <w:rsid w:val="7BFDC3E8"/>
    <w:rsid w:val="7C042F55"/>
    <w:rsid w:val="7C4F7C82"/>
    <w:rsid w:val="7C556308"/>
    <w:rsid w:val="7C57508E"/>
    <w:rsid w:val="7C624EA2"/>
    <w:rsid w:val="7C9A6DFC"/>
    <w:rsid w:val="7CB16A21"/>
    <w:rsid w:val="7CD16F56"/>
    <w:rsid w:val="7CF130FA"/>
    <w:rsid w:val="7CFF4BA7"/>
    <w:rsid w:val="7D160944"/>
    <w:rsid w:val="7D1E71EA"/>
    <w:rsid w:val="7D206CD5"/>
    <w:rsid w:val="7D2456DB"/>
    <w:rsid w:val="7D804008"/>
    <w:rsid w:val="7D960134"/>
    <w:rsid w:val="7DCD7BBD"/>
    <w:rsid w:val="7DFF07CC"/>
    <w:rsid w:val="7E0B7EEB"/>
    <w:rsid w:val="7E3F4F2E"/>
    <w:rsid w:val="7E4200B1"/>
    <w:rsid w:val="7E5512D0"/>
    <w:rsid w:val="7E7A3A8F"/>
    <w:rsid w:val="7E93216A"/>
    <w:rsid w:val="7EAB4239"/>
    <w:rsid w:val="7EB70647"/>
    <w:rsid w:val="7ED77A94"/>
    <w:rsid w:val="7EDF6830"/>
    <w:rsid w:val="7EE75906"/>
    <w:rsid w:val="7F1DDBCF"/>
    <w:rsid w:val="7F2E4837"/>
    <w:rsid w:val="7F64148E"/>
    <w:rsid w:val="7F6F8AF6"/>
    <w:rsid w:val="7F7E58BB"/>
    <w:rsid w:val="7F964B7E"/>
    <w:rsid w:val="7FAB627E"/>
    <w:rsid w:val="7FB03B0B"/>
    <w:rsid w:val="7FC7164B"/>
    <w:rsid w:val="93DB0432"/>
    <w:rsid w:val="97F548FD"/>
    <w:rsid w:val="9BD2FAA5"/>
    <w:rsid w:val="9FF838CB"/>
    <w:rsid w:val="AF79E712"/>
    <w:rsid w:val="AFDF1DF2"/>
    <w:rsid w:val="AFFF22CC"/>
    <w:rsid w:val="B8FF132B"/>
    <w:rsid w:val="B9EB7E79"/>
    <w:rsid w:val="BD7F5537"/>
    <w:rsid w:val="BE7E79BC"/>
    <w:rsid w:val="BFCF9E2E"/>
    <w:rsid w:val="BFEFCAB4"/>
    <w:rsid w:val="C19E2F59"/>
    <w:rsid w:val="C6FE91C9"/>
    <w:rsid w:val="CA0FA8EE"/>
    <w:rsid w:val="CEAF9C07"/>
    <w:rsid w:val="D37FF6C5"/>
    <w:rsid w:val="D3E9F1ED"/>
    <w:rsid w:val="D73DFB18"/>
    <w:rsid w:val="D7EDBDD0"/>
    <w:rsid w:val="DAC19359"/>
    <w:rsid w:val="DEFF1EA7"/>
    <w:rsid w:val="DF11CE3C"/>
    <w:rsid w:val="DFEFAC29"/>
    <w:rsid w:val="E07B69A0"/>
    <w:rsid w:val="E3FFFCA9"/>
    <w:rsid w:val="E7FED0D0"/>
    <w:rsid w:val="EB758B94"/>
    <w:rsid w:val="EF9A085F"/>
    <w:rsid w:val="EFBFDDA4"/>
    <w:rsid w:val="EFEE3DAB"/>
    <w:rsid w:val="F1ABEBD1"/>
    <w:rsid w:val="F47767F6"/>
    <w:rsid w:val="F577945B"/>
    <w:rsid w:val="F57D953F"/>
    <w:rsid w:val="F6EE880C"/>
    <w:rsid w:val="F7DE5C11"/>
    <w:rsid w:val="FAF700D6"/>
    <w:rsid w:val="FAF79949"/>
    <w:rsid w:val="FBA68E36"/>
    <w:rsid w:val="FBBB9F51"/>
    <w:rsid w:val="FBDA9C1C"/>
    <w:rsid w:val="FBDAD0A3"/>
    <w:rsid w:val="FCCB8B49"/>
    <w:rsid w:val="FDA5FC34"/>
    <w:rsid w:val="FDDD65E9"/>
    <w:rsid w:val="FE6B5EFA"/>
    <w:rsid w:val="FE7F4259"/>
    <w:rsid w:val="FEEA84A5"/>
    <w:rsid w:val="FF1722A8"/>
    <w:rsid w:val="FF7F2E17"/>
    <w:rsid w:val="FFBFC03D"/>
    <w:rsid w:val="FFE1C906"/>
    <w:rsid w:val="FFF78366"/>
    <w:rsid w:val="FFFB50EF"/>
    <w:rsid w:val="FFFCD4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1"/>
    <w:pPr>
      <w:autoSpaceDE w:val="0"/>
      <w:autoSpaceDN w:val="0"/>
      <w:adjustRightInd w:val="0"/>
      <w:ind w:left="160"/>
      <w:jc w:val="left"/>
    </w:pPr>
    <w:rPr>
      <w:rFonts w:ascii="仿宋_GB2312" w:hAnsi="Times New Roman" w:eastAsia="仿宋_GB2312" w:cs="仿宋_GB2312"/>
      <w:kern w:val="0"/>
      <w:sz w:val="31"/>
      <w:szCs w:val="31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4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1"/>
    <w:link w:val="3"/>
    <w:semiHidden/>
    <w:qFormat/>
    <w:uiPriority w:val="99"/>
  </w:style>
  <w:style w:type="character" w:customStyle="1" w:styleId="18">
    <w:name w:val="正文文本 Char1"/>
    <w:link w:val="3"/>
    <w:qFormat/>
    <w:uiPriority w:val="99"/>
    <w:rPr>
      <w:rFonts w:ascii="仿宋_GB2312" w:hAnsi="Times New Roman" w:eastAsia="仿宋_GB2312" w:cs="仿宋_GB2312"/>
      <w:kern w:val="0"/>
      <w:sz w:val="31"/>
      <w:szCs w:val="31"/>
    </w:rPr>
  </w:style>
  <w:style w:type="character" w:customStyle="1" w:styleId="19">
    <w:name w:val="页眉 字符"/>
    <w:qFormat/>
    <w:uiPriority w:val="99"/>
    <w:rPr>
      <w:rFonts w:ascii="仿宋_GB2312" w:hAnsi="Times New Roman" w:eastAsia="仿宋_GB2312" w:cs="仿宋_GB2312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167</Words>
  <Characters>953</Characters>
  <Lines>7</Lines>
  <Paragraphs>2</Paragraphs>
  <TotalTime>4</TotalTime>
  <ScaleCrop>false</ScaleCrop>
  <LinksUpToDate>false</LinksUpToDate>
  <CharactersWithSpaces>1118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2024-06-19T07:31:00Z</dcterms:created>
  <dc:creator>zhong</dc:creator>
  <cp:lastModifiedBy>UOS</cp:lastModifiedBy>
  <cp:lastPrinted>2024-06-18T17:21:00Z</cp:lastPrinted>
  <dcterms:modified xsi:type="dcterms:W3CDTF">2025-08-19T11:47:27Z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CCA9755A7A204B19B4DB3AA41A62F991</vt:lpwstr>
  </property>
</Properties>
</file>