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afterLines="-2147483648" w:line="360" w:lineRule="auto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caps w:val="0"/>
          <w:color w:val="000000"/>
          <w:sz w:val="44"/>
          <w:szCs w:val="44"/>
          <w:highlight w:val="none"/>
          <w:lang w:val="en-US" w:eastAsia="zh-CN"/>
        </w:rPr>
        <w:t>评审标准</w:t>
      </w:r>
    </w:p>
    <w:p>
      <w:pPr>
        <w:widowControl/>
        <w:autoSpaceDE/>
        <w:autoSpaceDN/>
        <w:adjustRightInd/>
        <w:snapToGrid w:val="0"/>
        <w:spacing w:before="0" w:line="560" w:lineRule="exact"/>
        <w:ind w:firstLine="560" w:firstLineChars="200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 w:bidi="ar-SA"/>
        </w:rPr>
        <w:t>采购人成立评审小组，对供应商响应文件进行评审。得分为评审小组成员评分的算术平均分，分值保留小数点后两位。</w:t>
      </w:r>
    </w:p>
    <w:p>
      <w:pPr>
        <w:widowControl/>
        <w:numPr>
          <w:ilvl w:val="-1"/>
          <w:numId w:val="0"/>
        </w:numPr>
        <w:snapToGrid/>
        <w:spacing w:before="0" w:line="560" w:lineRule="exact"/>
        <w:ind w:left="0" w:firstLine="686" w:firstLineChars="245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highlight w:val="none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highlight w:val="none"/>
        </w:rPr>
        <w:t>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highlight w:val="none"/>
          <w:lang w:eastAsia="zh-CN"/>
        </w:rPr>
        <w:t>审原则</w:t>
      </w:r>
    </w:p>
    <w:p>
      <w:pPr>
        <w:spacing w:line="560" w:lineRule="exact"/>
        <w:ind w:firstLine="686" w:firstLineChars="245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本次采购采用百分制综合评分法，即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在供应商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最大限度地满足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项目需求书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实质性要求的基础上，按照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评分标准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的各项因素进行综合评审后，以评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审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总得分最高的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和次高的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作为第一和第二排序候选人的评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方法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eastAsia="zh-CN"/>
        </w:rPr>
        <w:t>（若评审总得分相同，以报价低者优先）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。根据采购要求，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总分设定为100分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商务标</w:t>
      </w:r>
      <w:r>
        <w:rPr>
          <w:rFonts w:hint="eastAsia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分（权值</w:t>
      </w:r>
      <w:r>
        <w:rPr>
          <w:rFonts w:hint="eastAsia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%），技术标</w:t>
      </w:r>
      <w:r>
        <w:rPr>
          <w:rFonts w:hint="eastAsia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分（权值</w:t>
      </w:r>
      <w:r>
        <w:rPr>
          <w:rFonts w:hint="eastAsia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%）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报价得分1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0分（权值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0%）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</w:rPr>
        <w:t>。</w:t>
      </w:r>
    </w:p>
    <w:p>
      <w:pPr>
        <w:spacing w:line="560" w:lineRule="exact"/>
        <w:ind w:firstLine="686" w:firstLineChars="245"/>
        <w:outlineLvl w:val="9"/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  <w:t>评分方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eastAsia="zh-CN"/>
        </w:rPr>
        <w:t>式</w:t>
      </w:r>
    </w:p>
    <w:p>
      <w:pPr>
        <w:spacing w:line="560" w:lineRule="exact"/>
        <w:ind w:firstLine="686" w:firstLineChars="245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根据评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审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原则，所有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 w:bidi="ar-SA"/>
        </w:rPr>
        <w:t>响应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文件的评分按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商务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部分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、技术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部分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和报价部分三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个部分分别打分的方式进行。</w:t>
      </w:r>
    </w:p>
    <w:p>
      <w:pPr>
        <w:spacing w:line="560" w:lineRule="exact"/>
        <w:ind w:firstLine="686" w:firstLineChars="245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评标总得分（100分）=商务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部分（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分）+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技术部分（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分）+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部分（10分）。</w:t>
      </w:r>
    </w:p>
    <w:tbl>
      <w:tblPr>
        <w:tblStyle w:val="18"/>
        <w:tblW w:w="8800" w:type="dxa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55"/>
        <w:gridCol w:w="5911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862" w:type="dxa"/>
            <w:gridSpan w:val="2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分值构成（总分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100分）</w:t>
            </w:r>
          </w:p>
        </w:tc>
        <w:tc>
          <w:tcPr>
            <w:tcW w:w="6938" w:type="dxa"/>
            <w:gridSpan w:val="2"/>
            <w:vAlign w:val="center"/>
          </w:tcPr>
          <w:p>
            <w:pPr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商务部分：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60分</w:t>
            </w:r>
          </w:p>
          <w:p>
            <w:pPr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技术部分：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30分</w:t>
            </w:r>
          </w:p>
          <w:p>
            <w:pPr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报价部分：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07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分值构成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评分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因素</w:t>
            </w:r>
          </w:p>
        </w:tc>
        <w:tc>
          <w:tcPr>
            <w:tcW w:w="5911" w:type="dxa"/>
            <w:vAlign w:val="center"/>
          </w:tcPr>
          <w:p>
            <w:pPr>
              <w:ind w:firstLine="2860" w:firstLineChars="130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评分标准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商务部分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服务便利性</w:t>
            </w:r>
          </w:p>
        </w:tc>
        <w:tc>
          <w:tcPr>
            <w:tcW w:w="591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zh-CN"/>
              </w:rPr>
              <w:t>投标人在东莞市有服务机构的，得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zh-CN"/>
              </w:rPr>
              <w:t>分；在广东省内（东莞市除外）有服务机构的，得3分；其他不得分。</w:t>
            </w:r>
          </w:p>
          <w:p>
            <w:pPr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zh-CN"/>
              </w:rPr>
              <w:t>注：需提供该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zh-CN"/>
              </w:rPr>
              <w:t>机构工商注册登记的营业执照上所记载的住所地址为准。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同类业绩</w:t>
            </w:r>
          </w:p>
        </w:tc>
        <w:tc>
          <w:tcPr>
            <w:tcW w:w="591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zh-CN"/>
              </w:rPr>
              <w:t>投标人承接的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建筑材料价格的市场调查、采集及分析服务项目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zh-CN"/>
              </w:rPr>
              <w:t xml:space="preserve"> ：每承接过一项业绩得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zh-CN"/>
              </w:rPr>
              <w:t>分，本项最高得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zh-CN"/>
              </w:rPr>
              <w:t>分。</w:t>
            </w:r>
          </w:p>
          <w:p>
            <w:pPr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u w:val="none"/>
              </w:rPr>
              <w:t>须提供项目合同复印件并加盖公章，否则不得分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拟投入人员</w:t>
            </w:r>
          </w:p>
        </w:tc>
        <w:tc>
          <w:tcPr>
            <w:tcW w:w="5911" w:type="dxa"/>
            <w:vAlign w:val="center"/>
          </w:tcPr>
          <w:p>
            <w:pPr>
              <w:pStyle w:val="2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根据投标人拟投入本项目的技术人员进行评审：</w:t>
            </w:r>
          </w:p>
          <w:p>
            <w:pPr>
              <w:pStyle w:val="2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1、注册造价工程师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或中级职称及以上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：从事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本次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具备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注册造价工程师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或中级职称及以上的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人员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每提供一人得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分，其中具有高级职称的每人增加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分。</w:t>
            </w:r>
          </w:p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2、非注册造价工程师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或中级职称及以上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：从事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本次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人员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每提供一人得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本项最高得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highlight w:val="none"/>
                <w:u w:val="none"/>
              </w:rPr>
              <w:t>分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技术部分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实施方案</w:t>
            </w:r>
          </w:p>
        </w:tc>
        <w:tc>
          <w:tcPr>
            <w:tcW w:w="5911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质量管理：质量管理方案包括但不限于保障体系建设、过程与成果质量控制措施等内容。方案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非常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u w:val="none"/>
              </w:rPr>
              <w:t>明确、科学、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详细、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合理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可行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性强得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u w:val="none"/>
              </w:rPr>
              <w:t>明确、科学、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详细、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合理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可行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性较好得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6分；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基本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u w:val="none"/>
              </w:rPr>
              <w:t>明确、科学、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详细、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合理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可行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性一般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；未提供得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0分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。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911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进度控制：进度控制方案包括但不限于工期进度总体安排、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产量及人员分工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、工作时限要求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加急和超期应对措施等内容。方案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非常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u w:val="none"/>
              </w:rPr>
              <w:t>明确、科学、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详细、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合理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可行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性强得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u w:val="none"/>
              </w:rPr>
              <w:t>明确、科学、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详细、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合理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可行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性较好得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6分；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基本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u w:val="none"/>
              </w:rPr>
              <w:t>明确、科学、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详细、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合理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可行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性一般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；未提供得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0分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。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售后服务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方案及承诺</w:t>
            </w:r>
          </w:p>
        </w:tc>
        <w:tc>
          <w:tcPr>
            <w:tcW w:w="5911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售后服务方案：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提供的售后服务方案，从响应时间、服务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保障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措施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、售后服务人员配备、服务承诺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等方面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进行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综合评分。方案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非常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u w:val="none"/>
              </w:rPr>
              <w:t>明确、科学、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详细、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合理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可行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性强得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分；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u w:val="none"/>
              </w:rPr>
              <w:t>明确、科学、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详细、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合理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可行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性较好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分；方案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基本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u w:val="none"/>
              </w:rPr>
              <w:t>明确、科学、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详细、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合理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可行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性一般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分。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未提供得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0分。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07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报价部分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  <w:t>价格</w:t>
            </w:r>
          </w:p>
        </w:tc>
        <w:tc>
          <w:tcPr>
            <w:tcW w:w="5911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服务收费报价等于固定值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10，服务收费报价不等于固定值不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</w:rPr>
              <w:t>得分</w:t>
            </w:r>
            <w:bookmarkStart w:id="0" w:name="_GoBack"/>
            <w:bookmarkEnd w:id="0"/>
          </w:p>
        </w:tc>
        <w:tc>
          <w:tcPr>
            <w:tcW w:w="1027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</w:tbl>
    <w:p>
      <w:pPr>
        <w:numPr>
          <w:ilvl w:val="-1"/>
          <w:numId w:val="0"/>
        </w:numPr>
        <w:snapToGrid w:val="0"/>
        <w:spacing w:line="360" w:lineRule="auto"/>
        <w:ind w:firstLine="0" w:firstLineChars="0"/>
        <w:outlineLvl w:val="9"/>
        <w:rPr>
          <w:rFonts w:hint="default" w:ascii="Times New Roman" w:hAnsi="Times New Roman" w:cs="Times New Roman" w:eastAsiaTheme="majorEastAsia"/>
          <w:b/>
          <w:bCs/>
          <w:caps w:val="0"/>
          <w:color w:val="auto"/>
          <w:sz w:val="28"/>
          <w:szCs w:val="28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right="360" w:firstLine="4500" w:firstLineChars="250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rStyle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2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2"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dblS0AAAAAUBAAAPAAAAAAAAAAEAIAAAACIAAABkcnMvZG93bnJldi54bWxQSwECFAAU&#10;AAAACACHTuJAGNSmEcABAACEAwAADgAAAAAAAAABACAAAAAf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Style w:val="22"/>
                      </w:rPr>
                    </w:pPr>
                    <w:r>
                      <w:fldChar w:fldCharType="begin"/>
                    </w:r>
                    <w:r>
                      <w:rPr>
                        <w:rStyle w:val="2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2"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7559F"/>
    <w:multiLevelType w:val="multilevel"/>
    <w:tmpl w:val="4427559F"/>
    <w:lvl w:ilvl="0" w:tentative="0">
      <w:start w:val="1"/>
      <w:numFmt w:val="chi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 w:tentative="0">
      <w:start w:val="1"/>
      <w:numFmt w:val="chineseCountingThousand"/>
      <w:pStyle w:val="6"/>
      <w:suff w:val="nothing"/>
      <w:lvlText w:val="（%2）"/>
      <w:lvlJc w:val="left"/>
      <w:pPr>
        <w:ind w:left="284" w:firstLine="0"/>
      </w:pPr>
      <w:rPr>
        <w:rFonts w:hint="eastAsia"/>
      </w:rPr>
    </w:lvl>
    <w:lvl w:ilvl="2" w:tentative="0">
      <w:start w:val="1"/>
      <w:numFmt w:val="decimal"/>
      <w:lvlText w:val="%3、"/>
      <w:lvlJc w:val="left"/>
      <w:pPr>
        <w:ind w:left="992" w:hanging="567"/>
      </w:pPr>
      <w:rPr>
        <w:rFonts w:hint="eastAsia"/>
      </w:rPr>
    </w:lvl>
    <w:lvl w:ilvl="3" w:tentative="0">
      <w:start w:val="1"/>
      <w:numFmt w:val="decimal"/>
      <w:lvlText w:val="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ZjRjNDFjZmU4ZmMzNDUzNjg1Njc0OTYxYWQyNzYifQ=="/>
  </w:docVars>
  <w:rsids>
    <w:rsidRoot w:val="765F3543"/>
    <w:rsid w:val="001E6288"/>
    <w:rsid w:val="01237E6B"/>
    <w:rsid w:val="012D11FA"/>
    <w:rsid w:val="01501B54"/>
    <w:rsid w:val="029B0DFF"/>
    <w:rsid w:val="03E30E9C"/>
    <w:rsid w:val="049E3C57"/>
    <w:rsid w:val="04F335BF"/>
    <w:rsid w:val="063666D1"/>
    <w:rsid w:val="07B46C8C"/>
    <w:rsid w:val="08C2670B"/>
    <w:rsid w:val="08FA30DF"/>
    <w:rsid w:val="08FF3B2A"/>
    <w:rsid w:val="09096E52"/>
    <w:rsid w:val="096176E4"/>
    <w:rsid w:val="09D71C85"/>
    <w:rsid w:val="0A3A3B85"/>
    <w:rsid w:val="0B7E7E10"/>
    <w:rsid w:val="0BE30724"/>
    <w:rsid w:val="0BF23E60"/>
    <w:rsid w:val="0C2F2AB2"/>
    <w:rsid w:val="0CB42FB3"/>
    <w:rsid w:val="0F1727CE"/>
    <w:rsid w:val="10C33B0F"/>
    <w:rsid w:val="11A22AF1"/>
    <w:rsid w:val="12207EF9"/>
    <w:rsid w:val="12452986"/>
    <w:rsid w:val="147F4B23"/>
    <w:rsid w:val="174D6BC3"/>
    <w:rsid w:val="17C23687"/>
    <w:rsid w:val="18050F55"/>
    <w:rsid w:val="1A0A3F36"/>
    <w:rsid w:val="1A966217"/>
    <w:rsid w:val="1BB7118B"/>
    <w:rsid w:val="1BE51DF3"/>
    <w:rsid w:val="1C884DFC"/>
    <w:rsid w:val="1D815127"/>
    <w:rsid w:val="1EBD7CFB"/>
    <w:rsid w:val="1F32342A"/>
    <w:rsid w:val="21A02E73"/>
    <w:rsid w:val="21A3443C"/>
    <w:rsid w:val="22E40170"/>
    <w:rsid w:val="23790DD4"/>
    <w:rsid w:val="24513EB3"/>
    <w:rsid w:val="24E760D9"/>
    <w:rsid w:val="25C565A5"/>
    <w:rsid w:val="27E33B42"/>
    <w:rsid w:val="281D1359"/>
    <w:rsid w:val="28C8445B"/>
    <w:rsid w:val="29F7320D"/>
    <w:rsid w:val="2B510EB0"/>
    <w:rsid w:val="2BF56DBF"/>
    <w:rsid w:val="2CD70CF0"/>
    <w:rsid w:val="2D0E5941"/>
    <w:rsid w:val="2DB143D8"/>
    <w:rsid w:val="2E5D4A71"/>
    <w:rsid w:val="2ECA187B"/>
    <w:rsid w:val="2F0552FB"/>
    <w:rsid w:val="2F155C62"/>
    <w:rsid w:val="330E3623"/>
    <w:rsid w:val="338A06D6"/>
    <w:rsid w:val="33A406B7"/>
    <w:rsid w:val="33C43E75"/>
    <w:rsid w:val="33D03323"/>
    <w:rsid w:val="34260F9E"/>
    <w:rsid w:val="346C19AA"/>
    <w:rsid w:val="355C1CF8"/>
    <w:rsid w:val="36F321FD"/>
    <w:rsid w:val="374F08D4"/>
    <w:rsid w:val="39570DCA"/>
    <w:rsid w:val="399D259D"/>
    <w:rsid w:val="3A6B5BE1"/>
    <w:rsid w:val="3D9077EA"/>
    <w:rsid w:val="3E8C19E7"/>
    <w:rsid w:val="4171511B"/>
    <w:rsid w:val="42E305BF"/>
    <w:rsid w:val="444D3558"/>
    <w:rsid w:val="45D12D99"/>
    <w:rsid w:val="460B6721"/>
    <w:rsid w:val="463C3C0D"/>
    <w:rsid w:val="465A2C5A"/>
    <w:rsid w:val="472965B9"/>
    <w:rsid w:val="498009B5"/>
    <w:rsid w:val="4C2D4689"/>
    <w:rsid w:val="4DFA6ADA"/>
    <w:rsid w:val="4F2B705E"/>
    <w:rsid w:val="4F7D2CF9"/>
    <w:rsid w:val="50203267"/>
    <w:rsid w:val="513A2E22"/>
    <w:rsid w:val="51937DAA"/>
    <w:rsid w:val="5237584C"/>
    <w:rsid w:val="53127C5D"/>
    <w:rsid w:val="53C214A4"/>
    <w:rsid w:val="55440772"/>
    <w:rsid w:val="561D2B01"/>
    <w:rsid w:val="570C0D53"/>
    <w:rsid w:val="58CD7AC9"/>
    <w:rsid w:val="5BBA0ED0"/>
    <w:rsid w:val="5BEE06F2"/>
    <w:rsid w:val="5C950094"/>
    <w:rsid w:val="5CD34356"/>
    <w:rsid w:val="5D101956"/>
    <w:rsid w:val="5D4C617C"/>
    <w:rsid w:val="5E700B8C"/>
    <w:rsid w:val="5E973A1B"/>
    <w:rsid w:val="5F9E02F3"/>
    <w:rsid w:val="5FFF230B"/>
    <w:rsid w:val="602C6A46"/>
    <w:rsid w:val="60482912"/>
    <w:rsid w:val="617666A5"/>
    <w:rsid w:val="61C12D16"/>
    <w:rsid w:val="69277FAC"/>
    <w:rsid w:val="693F3EFA"/>
    <w:rsid w:val="6A077828"/>
    <w:rsid w:val="6A6917F2"/>
    <w:rsid w:val="6CA733C5"/>
    <w:rsid w:val="6CB3398E"/>
    <w:rsid w:val="6FC73E3F"/>
    <w:rsid w:val="70325B5A"/>
    <w:rsid w:val="72F363AD"/>
    <w:rsid w:val="742C29DE"/>
    <w:rsid w:val="7464559D"/>
    <w:rsid w:val="749B5EFA"/>
    <w:rsid w:val="74DB2231"/>
    <w:rsid w:val="75A461B9"/>
    <w:rsid w:val="765F3543"/>
    <w:rsid w:val="792F12AF"/>
    <w:rsid w:val="7B057101"/>
    <w:rsid w:val="7B165D1B"/>
    <w:rsid w:val="7B67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jc w:val="center"/>
      <w:outlineLvl w:val="0"/>
    </w:pPr>
    <w:rPr>
      <w:rFonts w:eastAsia="黑体"/>
      <w:b/>
      <w:sz w:val="32"/>
      <w:szCs w:val="20"/>
    </w:rPr>
  </w:style>
  <w:style w:type="paragraph" w:styleId="6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40" w:after="120" w:line="360" w:lineRule="auto"/>
      <w:outlineLvl w:val="1"/>
    </w:pPr>
    <w:rPr>
      <w:rFonts w:eastAsia="宋体" w:asciiTheme="majorHAnsi" w:hAnsiTheme="majorHAnsi" w:cstheme="majorBidi"/>
      <w:b/>
      <w:bCs/>
      <w:sz w:val="28"/>
      <w:szCs w:val="32"/>
    </w:rPr>
  </w:style>
  <w:style w:type="paragraph" w:styleId="7">
    <w:name w:val="heading 3"/>
    <w:basedOn w:val="1"/>
    <w:next w:val="1"/>
    <w:qFormat/>
    <w:uiPriority w:val="9"/>
    <w:pPr>
      <w:keepNext/>
      <w:keepLines/>
      <w:spacing w:before="260" w:after="260" w:line="600" w:lineRule="exact"/>
      <w:jc w:val="center"/>
      <w:outlineLvl w:val="2"/>
    </w:pPr>
    <w:rPr>
      <w:rFonts w:eastAsia="仿宋_GB2312"/>
      <w:b/>
      <w:kern w:val="0"/>
      <w:sz w:val="32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Verdana" w:hAnsi="Verdana" w:eastAsia="仿宋_GB2312"/>
      <w:sz w:val="24"/>
      <w:lang w:eastAsia="en-US"/>
    </w:rPr>
  </w:style>
  <w:style w:type="paragraph" w:styleId="3">
    <w:name w:val="Body Text First Indent"/>
    <w:basedOn w:val="2"/>
    <w:next w:val="4"/>
    <w:qFormat/>
    <w:uiPriority w:val="0"/>
    <w:pPr>
      <w:spacing w:after="120"/>
      <w:ind w:firstLine="420" w:firstLineChars="100"/>
    </w:pPr>
    <w:rPr>
      <w:bCs/>
      <w:szCs w:val="21"/>
    </w:rPr>
  </w:style>
  <w:style w:type="paragraph" w:customStyle="1" w:styleId="4">
    <w:name w:val="样式 正文首行缩进 + 首行缩进:  1 字符"/>
    <w:basedOn w:val="1"/>
    <w:next w:val="1"/>
    <w:qFormat/>
    <w:uiPriority w:val="0"/>
    <w:pPr>
      <w:ind w:firstLine="200" w:firstLineChars="200"/>
    </w:pPr>
    <w:rPr>
      <w:rFonts w:cs="宋体"/>
      <w:szCs w:val="20"/>
    </w:rPr>
  </w:style>
  <w:style w:type="paragraph" w:styleId="8">
    <w:name w:val="Body Text Indent"/>
    <w:basedOn w:val="1"/>
    <w:next w:val="9"/>
    <w:qFormat/>
    <w:uiPriority w:val="0"/>
    <w:pPr>
      <w:ind w:left="480" w:hanging="480" w:hangingChars="200"/>
    </w:pPr>
    <w:rPr>
      <w:sz w:val="24"/>
    </w:rPr>
  </w:style>
  <w:style w:type="paragraph" w:customStyle="1" w:styleId="9">
    <w:name w:val="正文文本首行缩进 2"/>
    <w:basedOn w:val="10"/>
    <w:qFormat/>
    <w:uiPriority w:val="99"/>
    <w:pPr>
      <w:tabs>
        <w:tab w:val="right" w:leader="dot" w:pos="8268"/>
      </w:tabs>
      <w:spacing w:line="200" w:lineRule="atLeast"/>
      <w:ind w:firstLine="420"/>
    </w:pPr>
    <w:rPr>
      <w:rFonts w:ascii="宋体" w:hAnsi="Courier New"/>
      <w:spacing w:val="-4"/>
      <w:sz w:val="18"/>
    </w:rPr>
  </w:style>
  <w:style w:type="paragraph" w:customStyle="1" w:styleId="10">
    <w:name w:val="正文缩进1"/>
    <w:basedOn w:val="11"/>
    <w:next w:val="9"/>
    <w:qFormat/>
    <w:uiPriority w:val="0"/>
    <w:pPr>
      <w:autoSpaceDE w:val="0"/>
      <w:autoSpaceDN w:val="0"/>
      <w:adjustRightInd w:val="0"/>
      <w:snapToGrid w:val="0"/>
      <w:spacing w:after="120" w:line="360" w:lineRule="auto"/>
      <w:ind w:left="420" w:leftChars="200" w:firstLine="480" w:firstLineChars="200"/>
      <w:jc w:val="left"/>
    </w:pPr>
    <w:rPr>
      <w:kern w:val="0"/>
      <w:sz w:val="24"/>
      <w:szCs w:val="21"/>
    </w:rPr>
  </w:style>
  <w:style w:type="paragraph" w:customStyle="1" w:styleId="11">
    <w:name w:val="正文1"/>
    <w:basedOn w:val="12"/>
    <w:next w:val="13"/>
    <w:qFormat/>
    <w:uiPriority w:val="0"/>
    <w:pPr>
      <w:widowControl/>
      <w:spacing w:line="360" w:lineRule="auto"/>
      <w:ind w:left="360" w:firstLine="420"/>
      <w:jc w:val="left"/>
    </w:pPr>
    <w:rPr>
      <w:rFonts w:ascii="宋体" w:hAnsi="宋体" w:cs="宋体"/>
      <w:kern w:val="0"/>
      <w:szCs w:val="20"/>
    </w:rPr>
  </w:style>
  <w:style w:type="paragraph" w:styleId="12">
    <w:name w:val="toc 3"/>
    <w:basedOn w:val="1"/>
    <w:next w:val="1"/>
    <w:qFormat/>
    <w:uiPriority w:val="0"/>
    <w:pPr>
      <w:ind w:left="840" w:leftChars="400"/>
    </w:pPr>
  </w:style>
  <w:style w:type="paragraph" w:customStyle="1" w:styleId="13">
    <w:name w:val="标题 21"/>
    <w:basedOn w:val="11"/>
    <w:next w:val="11"/>
    <w:qFormat/>
    <w:uiPriority w:val="0"/>
    <w:pPr>
      <w:keepNext/>
      <w:keepLines/>
      <w:tabs>
        <w:tab w:val="left" w:pos="706"/>
      </w:tabs>
      <w:ind w:left="106" w:firstLine="454"/>
      <w:outlineLvl w:val="1"/>
    </w:pPr>
    <w:rPr>
      <w:rFonts w:ascii="Arial" w:hAnsi="Arial" w:eastAsia="??"/>
      <w:b/>
      <w:bCs/>
      <w:szCs w:val="32"/>
    </w:rPr>
  </w:style>
  <w:style w:type="paragraph" w:styleId="14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b/>
      <w:kern w:val="0"/>
      <w:szCs w:val="21"/>
    </w:rPr>
  </w:style>
  <w:style w:type="paragraph" w:styleId="1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Body Text First Indent 2"/>
    <w:basedOn w:val="8"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paragraph" w:customStyle="1" w:styleId="23">
    <w:name w:val="标题 3.1"/>
    <w:basedOn w:val="7"/>
    <w:qFormat/>
    <w:uiPriority w:val="0"/>
    <w:pPr>
      <w:tabs>
        <w:tab w:val="left" w:pos="1440"/>
        <w:tab w:val="left" w:pos="1620"/>
      </w:tabs>
      <w:jc w:val="both"/>
    </w:pPr>
    <w:rPr>
      <w:rFonts w:ascii="宋体" w:hAnsi="宋体" w:eastAsia="宋体"/>
      <w:color w:val="FF0000"/>
    </w:rPr>
  </w:style>
  <w:style w:type="paragraph" w:customStyle="1" w:styleId="24">
    <w:name w:val="正文_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段落"/>
    <w:basedOn w:val="1"/>
    <w:qFormat/>
    <w:uiPriority w:val="0"/>
    <w:pPr>
      <w:spacing w:before="25" w:beforeLines="25" w:after="25" w:afterLines="25" w:line="360" w:lineRule="auto"/>
      <w:ind w:firstLine="200" w:firstLineChars="200"/>
    </w:p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样式1"/>
    <w:basedOn w:val="1"/>
    <w:qFormat/>
    <w:uiPriority w:val="0"/>
    <w:pPr>
      <w:autoSpaceDE w:val="0"/>
      <w:autoSpaceDN w:val="0"/>
      <w:adjustRightInd w:val="0"/>
      <w:spacing w:line="400" w:lineRule="exact"/>
    </w:pPr>
    <w:rPr>
      <w:rFonts w:ascii="宋体" w:cs="宋体"/>
      <w:kern w:val="0"/>
    </w:rPr>
  </w:style>
  <w:style w:type="paragraph" w:customStyle="1" w:styleId="28">
    <w:name w:val="正文缩进2格"/>
    <w:basedOn w:val="1"/>
    <w:qFormat/>
    <w:uiPriority w:val="0"/>
    <w:pPr>
      <w:widowControl w:val="0"/>
      <w:adjustRightInd/>
      <w:snapToGrid/>
      <w:spacing w:line="600" w:lineRule="exact"/>
      <w:ind w:firstLine="639" w:firstLineChars="206"/>
      <w:jc w:val="both"/>
    </w:pPr>
    <w:rPr>
      <w:rFonts w:ascii="仿宋_GB2312" w:hAnsi="宋体" w:eastAsia="仿宋_GB2312"/>
      <w:kern w:val="2"/>
      <w:sz w:val="3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1860</Words>
  <Characters>1888</Characters>
  <Lines>0</Lines>
  <Paragraphs>0</Paragraphs>
  <TotalTime>12</TotalTime>
  <ScaleCrop>false</ScaleCrop>
  <LinksUpToDate>false</LinksUpToDate>
  <CharactersWithSpaces>1891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2021-03-05T06:26:00Z</dcterms:created>
  <dc:creator>晓江</dc:creator>
  <cp:lastModifiedBy>111</cp:lastModifiedBy>
  <cp:lastPrinted>2025-01-17T01:15:00Z</cp:lastPrinted>
  <dcterms:modified xsi:type="dcterms:W3CDTF">2025-04-14T03:26:08Z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F4C4BFE6B2834AE4BDB268D6E012D870_13</vt:lpwstr>
  </property>
  <property fmtid="{D5CDD505-2E9C-101B-9397-08002B2CF9AE}" pid="4" name="KSOTemplateDocerSaveRecord">
    <vt:lpwstr>eyJoZGlkIjoiZWJjMDI5ZWU4MGNkMTk1YmU4ZWE3MDEwZjZmMDVhODUifQ==</vt:lpwstr>
  </property>
</Properties>
</file>