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34EA8"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snapToGrid w:val="0"/>
          <w:szCs w:val="32"/>
        </w:rPr>
      </w:pPr>
      <w:r>
        <w:rPr>
          <w:rFonts w:hint="default" w:ascii="Times New Roman" w:hAnsi="Times New Roman" w:eastAsia="黑体" w:cs="Times New Roman"/>
          <w:snapToGrid w:val="0"/>
          <w:szCs w:val="32"/>
        </w:rPr>
        <w:t>附件3</w:t>
      </w:r>
    </w:p>
    <w:p w14:paraId="3C2E7403">
      <w:pPr>
        <w:pStyle w:val="2"/>
        <w:ind w:left="640"/>
      </w:pPr>
    </w:p>
    <w:p w14:paraId="400F91BC">
      <w:pPr>
        <w:adjustRightInd w:val="0"/>
        <w:snapToGrid w:val="0"/>
        <w:spacing w:line="600" w:lineRule="exact"/>
        <w:jc w:val="center"/>
        <w:rPr>
          <w:rFonts w:ascii="方正小标宋简体" w:hAnsi="宋体" w:eastAsia="方正小标宋简体" w:cs="宋体"/>
          <w:snapToGrid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snapToGrid w:val="0"/>
          <w:sz w:val="44"/>
          <w:szCs w:val="44"/>
        </w:rPr>
        <w:t>东莞市装配式建筑装配率计算书</w:t>
      </w:r>
    </w:p>
    <w:p w14:paraId="5D54AF44">
      <w:pPr>
        <w:adjustRightInd w:val="0"/>
        <w:snapToGrid w:val="0"/>
        <w:spacing w:line="600" w:lineRule="exact"/>
        <w:jc w:val="center"/>
        <w:rPr>
          <w:rFonts w:ascii="仿宋_GB2312" w:hAnsi="宋体" w:cs="宋体"/>
          <w:szCs w:val="32"/>
        </w:rPr>
      </w:pPr>
      <w:r>
        <w:rPr>
          <w:rFonts w:hint="eastAsia" w:ascii="仿宋_GB2312" w:hAnsi="宋体" w:cs="宋体"/>
          <w:szCs w:val="32"/>
        </w:rPr>
        <w:t>（国标模板）</w:t>
      </w:r>
    </w:p>
    <w:p w14:paraId="28466CF5">
      <w:pPr>
        <w:adjustRightInd w:val="0"/>
        <w:snapToGrid w:val="0"/>
        <w:spacing w:line="900" w:lineRule="exact"/>
        <w:rPr>
          <w:rFonts w:ascii="宋体" w:hAnsi="宋体" w:cs="宋体"/>
          <w:sz w:val="28"/>
        </w:rPr>
      </w:pPr>
    </w:p>
    <w:p w14:paraId="62B814BD">
      <w:pPr>
        <w:adjustRightInd w:val="0"/>
        <w:snapToGrid w:val="0"/>
        <w:spacing w:line="900" w:lineRule="exact"/>
        <w:rPr>
          <w:rFonts w:ascii="宋体" w:hAnsi="宋体" w:cs="宋体"/>
          <w:sz w:val="28"/>
        </w:rPr>
      </w:pPr>
    </w:p>
    <w:p w14:paraId="7B32E52E">
      <w:pPr>
        <w:adjustRightInd w:val="0"/>
        <w:snapToGrid w:val="0"/>
        <w:spacing w:line="900" w:lineRule="exact"/>
        <w:rPr>
          <w:rFonts w:ascii="宋体" w:hAnsi="宋体" w:cs="宋体"/>
          <w:sz w:val="28"/>
        </w:rPr>
      </w:pPr>
    </w:p>
    <w:p w14:paraId="51F5E4BB">
      <w:pPr>
        <w:adjustRightInd w:val="0"/>
        <w:snapToGrid w:val="0"/>
        <w:spacing w:line="900" w:lineRule="exact"/>
        <w:rPr>
          <w:rFonts w:ascii="宋体" w:hAnsi="宋体" w:cs="宋体"/>
          <w:sz w:val="28"/>
        </w:rPr>
      </w:pPr>
    </w:p>
    <w:p w14:paraId="1F1630C7">
      <w:pPr>
        <w:adjustRightInd w:val="0"/>
        <w:snapToGrid w:val="0"/>
        <w:spacing w:line="900" w:lineRule="exact"/>
        <w:rPr>
          <w:rFonts w:ascii="宋体" w:hAnsi="宋体" w:cs="宋体"/>
          <w:sz w:val="28"/>
        </w:rPr>
      </w:pPr>
    </w:p>
    <w:p w14:paraId="2FE54891">
      <w:pPr>
        <w:adjustRightInd w:val="0"/>
        <w:snapToGrid w:val="0"/>
        <w:spacing w:line="900" w:lineRule="exact"/>
        <w:rPr>
          <w:rFonts w:ascii="宋体" w:hAnsi="宋体" w:cs="宋体"/>
          <w:sz w:val="28"/>
        </w:rPr>
      </w:pPr>
    </w:p>
    <w:p w14:paraId="3DBE9C3E">
      <w:pPr>
        <w:adjustRightInd w:val="0"/>
        <w:snapToGrid w:val="0"/>
        <w:spacing w:line="900" w:lineRule="exact"/>
        <w:rPr>
          <w:rFonts w:ascii="宋体" w:hAnsi="宋体" w:cs="宋体"/>
          <w:sz w:val="28"/>
        </w:rPr>
      </w:pPr>
    </w:p>
    <w:p w14:paraId="74AF9B68">
      <w:pPr>
        <w:tabs>
          <w:tab w:val="left" w:pos="6300"/>
        </w:tabs>
        <w:adjustRightInd w:val="0"/>
        <w:snapToGrid w:val="0"/>
        <w:spacing w:line="900" w:lineRule="exact"/>
        <w:ind w:left="96" w:leftChars="30" w:firstLine="1120" w:firstLineChars="350"/>
        <w:jc w:val="left"/>
        <w:rPr>
          <w:rFonts w:ascii="宋体" w:hAnsi="宋体" w:cs="宋体"/>
          <w:snapToGrid w:val="0"/>
          <w:szCs w:val="32"/>
        </w:rPr>
      </w:pPr>
      <w:r>
        <w:rPr>
          <w:rFonts w:hint="eastAsia" w:ascii="宋体" w:hAnsi="宋体" w:cs="宋体"/>
          <w:snapToGrid w:val="0"/>
          <w:szCs w:val="32"/>
        </w:rPr>
        <w:t>项目名称：</w:t>
      </w:r>
      <w:r>
        <w:rPr>
          <w:rFonts w:hint="eastAsia" w:ascii="宋体" w:hAnsi="宋体" w:cs="宋体"/>
          <w:snapToGrid w:val="0"/>
          <w:szCs w:val="32"/>
          <w:u w:val="single"/>
        </w:rPr>
        <w:t xml:space="preserve">                         </w:t>
      </w:r>
    </w:p>
    <w:p w14:paraId="7E17AD99">
      <w:pPr>
        <w:tabs>
          <w:tab w:val="left" w:pos="6300"/>
        </w:tabs>
        <w:adjustRightInd w:val="0"/>
        <w:snapToGrid w:val="0"/>
        <w:spacing w:line="900" w:lineRule="exact"/>
        <w:ind w:left="1238" w:leftChars="387"/>
        <w:rPr>
          <w:rFonts w:ascii="宋体" w:hAnsi="宋体" w:cs="宋体"/>
          <w:snapToGrid w:val="0"/>
          <w:sz w:val="30"/>
          <w:szCs w:val="30"/>
        </w:rPr>
      </w:pPr>
      <w:r>
        <w:rPr>
          <w:rFonts w:hint="eastAsia" w:ascii="宋体" w:hAnsi="宋体" w:cs="宋体"/>
          <w:snapToGrid w:val="0"/>
          <w:szCs w:val="32"/>
        </w:rPr>
        <w:t>建设单位：</w:t>
      </w:r>
      <w:r>
        <w:rPr>
          <w:rFonts w:hint="eastAsia" w:ascii="宋体" w:hAnsi="宋体" w:cs="宋体"/>
          <w:snapToGrid w:val="0"/>
          <w:szCs w:val="32"/>
          <w:u w:val="single"/>
        </w:rPr>
        <w:t xml:space="preserve">                         </w:t>
      </w:r>
    </w:p>
    <w:p w14:paraId="21F3B90D">
      <w:pPr>
        <w:tabs>
          <w:tab w:val="left" w:pos="6300"/>
        </w:tabs>
        <w:adjustRightInd w:val="0"/>
        <w:snapToGrid w:val="0"/>
        <w:spacing w:line="900" w:lineRule="exact"/>
        <w:ind w:left="1238" w:leftChars="387"/>
        <w:rPr>
          <w:rFonts w:ascii="宋体" w:hAnsi="宋体" w:cs="宋体"/>
          <w:snapToGrid w:val="0"/>
          <w:szCs w:val="32"/>
        </w:rPr>
      </w:pPr>
      <w:r>
        <w:rPr>
          <w:rFonts w:hint="eastAsia" w:ascii="宋体" w:hAnsi="宋体" w:cs="宋体"/>
          <w:snapToGrid w:val="0"/>
          <w:szCs w:val="32"/>
        </w:rPr>
        <w:t>设计单位：</w:t>
      </w:r>
      <w:r>
        <w:rPr>
          <w:rFonts w:hint="eastAsia" w:ascii="宋体" w:hAnsi="宋体" w:cs="宋体"/>
          <w:snapToGrid w:val="0"/>
          <w:szCs w:val="32"/>
          <w:u w:val="single"/>
        </w:rPr>
        <w:t xml:space="preserve">                        </w:t>
      </w:r>
      <w:r>
        <w:rPr>
          <w:rFonts w:ascii="宋体" w:hAnsi="宋体" w:cs="宋体"/>
          <w:snapToGrid w:val="0"/>
          <w:szCs w:val="32"/>
          <w:u w:val="single"/>
        </w:rPr>
        <w:t xml:space="preserve"> </w:t>
      </w:r>
    </w:p>
    <w:p w14:paraId="31829D54">
      <w:pPr>
        <w:tabs>
          <w:tab w:val="left" w:pos="6300"/>
        </w:tabs>
        <w:adjustRightInd w:val="0"/>
        <w:snapToGrid w:val="0"/>
        <w:spacing w:line="900" w:lineRule="exact"/>
        <w:ind w:left="1238" w:leftChars="387"/>
        <w:rPr>
          <w:rFonts w:ascii="宋体" w:hAnsi="宋体" w:cs="宋体"/>
          <w:snapToGrid w:val="0"/>
          <w:szCs w:val="32"/>
        </w:rPr>
      </w:pPr>
      <w:r>
        <w:rPr>
          <w:rFonts w:hint="eastAsia" w:ascii="宋体" w:hAnsi="宋体" w:cs="宋体"/>
          <w:snapToGrid w:val="0"/>
          <w:szCs w:val="32"/>
        </w:rPr>
        <w:t xml:space="preserve">日    期：      </w:t>
      </w:r>
      <w:r>
        <w:rPr>
          <w:rFonts w:ascii="宋体" w:hAnsi="宋体" w:cs="宋体"/>
          <w:snapToGrid w:val="0"/>
          <w:szCs w:val="32"/>
        </w:rPr>
        <w:t xml:space="preserve">  </w:t>
      </w:r>
      <w:r>
        <w:rPr>
          <w:rFonts w:hint="eastAsia" w:ascii="宋体" w:hAnsi="宋体" w:cs="宋体"/>
          <w:snapToGrid w:val="0"/>
          <w:szCs w:val="32"/>
        </w:rPr>
        <w:t xml:space="preserve"> 年  </w:t>
      </w:r>
      <w:r>
        <w:rPr>
          <w:rFonts w:ascii="宋体" w:hAnsi="宋体" w:cs="宋体"/>
          <w:snapToGrid w:val="0"/>
          <w:szCs w:val="32"/>
        </w:rPr>
        <w:t xml:space="preserve"> </w:t>
      </w:r>
      <w:r>
        <w:rPr>
          <w:rFonts w:hint="eastAsia" w:ascii="宋体" w:hAnsi="宋体" w:cs="宋体"/>
          <w:snapToGrid w:val="0"/>
          <w:szCs w:val="32"/>
        </w:rPr>
        <w:t xml:space="preserve">  月     日</w:t>
      </w:r>
    </w:p>
    <w:p w14:paraId="6AFFCD5D">
      <w:pPr>
        <w:tabs>
          <w:tab w:val="left" w:pos="6300"/>
        </w:tabs>
        <w:adjustRightInd w:val="0"/>
        <w:snapToGrid w:val="0"/>
        <w:spacing w:line="480" w:lineRule="auto"/>
        <w:ind w:left="1238" w:leftChars="387"/>
        <w:rPr>
          <w:rFonts w:ascii="宋体" w:hAnsi="宋体" w:cs="宋体"/>
          <w:snapToGrid w:val="0"/>
          <w:szCs w:val="32"/>
          <w:u w:val="single"/>
        </w:rPr>
      </w:pPr>
    </w:p>
    <w:p w14:paraId="511C8883">
      <w:pPr>
        <w:adjustRightInd w:val="0"/>
        <w:snapToGrid w:val="0"/>
        <w:rPr>
          <w:sz w:val="28"/>
          <w:szCs w:val="28"/>
        </w:rPr>
      </w:pPr>
    </w:p>
    <w:p w14:paraId="54FDA760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目录</w:t>
      </w:r>
    </w:p>
    <w:p w14:paraId="2D74DEC6">
      <w:pPr>
        <w:adjustRightInd w:val="0"/>
        <w:snapToGrid w:val="0"/>
        <w:rPr>
          <w:sz w:val="28"/>
          <w:szCs w:val="28"/>
        </w:rPr>
      </w:pPr>
    </w:p>
    <w:p w14:paraId="59D4FD3E">
      <w:pPr>
        <w:adjustRightInd w:val="0"/>
        <w:snapToGrid w:val="0"/>
        <w:spacing w:line="60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一、装配率计算依据</w:t>
      </w:r>
      <w:r>
        <w:rPr>
          <w:rFonts w:ascii="仿宋_GB2312"/>
          <w:szCs w:val="32"/>
        </w:rPr>
        <w:t>……</w:t>
      </w:r>
      <w:r>
        <w:rPr>
          <w:rFonts w:hint="eastAsia" w:ascii="仿宋_GB2312"/>
          <w:szCs w:val="32"/>
        </w:rPr>
        <w:t>........................... XX</w:t>
      </w:r>
      <w:r>
        <w:rPr>
          <w:rFonts w:hint="eastAsia" w:ascii="仿宋_GB2312"/>
          <w:szCs w:val="32"/>
        </w:rPr>
        <w:cr/>
      </w:r>
      <w:r>
        <w:rPr>
          <w:rFonts w:hint="eastAsia" w:ascii="仿宋_GB2312"/>
          <w:szCs w:val="32"/>
        </w:rPr>
        <w:t xml:space="preserve">二、项目基本情况................................. XX </w:t>
      </w:r>
      <w:r>
        <w:rPr>
          <w:rFonts w:hint="eastAsia" w:ascii="仿宋_GB2312"/>
          <w:szCs w:val="32"/>
        </w:rPr>
        <w:cr/>
      </w:r>
      <w:r>
        <w:rPr>
          <w:rFonts w:hint="eastAsia" w:ascii="仿宋_GB2312"/>
          <w:szCs w:val="32"/>
        </w:rPr>
        <w:t>三、装配率计算................................... XX</w:t>
      </w:r>
      <w:r>
        <w:rPr>
          <w:rFonts w:hint="eastAsia" w:ascii="仿宋_GB2312"/>
          <w:szCs w:val="32"/>
        </w:rPr>
        <w:cr/>
      </w:r>
      <w:r>
        <w:rPr>
          <w:rFonts w:hint="eastAsia" w:ascii="仿宋_GB2312"/>
          <w:szCs w:val="32"/>
        </w:rPr>
        <w:t>四、结论..........................................XX</w:t>
      </w:r>
    </w:p>
    <w:p w14:paraId="7846A8A5">
      <w:pPr>
        <w:adjustRightInd w:val="0"/>
        <w:snapToGrid w:val="0"/>
        <w:rPr>
          <w:sz w:val="28"/>
          <w:szCs w:val="28"/>
        </w:rPr>
      </w:pPr>
    </w:p>
    <w:p w14:paraId="0FB9DA01">
      <w:pPr>
        <w:adjustRightInd w:val="0"/>
        <w:snapToGrid w:val="0"/>
        <w:rPr>
          <w:sz w:val="28"/>
          <w:szCs w:val="28"/>
        </w:rPr>
      </w:pPr>
    </w:p>
    <w:p w14:paraId="27310CF5">
      <w:pPr>
        <w:adjustRightInd w:val="0"/>
        <w:snapToGrid w:val="0"/>
        <w:rPr>
          <w:sz w:val="28"/>
          <w:szCs w:val="28"/>
        </w:rPr>
      </w:pPr>
    </w:p>
    <w:p w14:paraId="38716E2E">
      <w:pPr>
        <w:adjustRightInd w:val="0"/>
        <w:snapToGrid w:val="0"/>
        <w:rPr>
          <w:sz w:val="28"/>
          <w:szCs w:val="28"/>
        </w:rPr>
      </w:pPr>
    </w:p>
    <w:p w14:paraId="359609A9">
      <w:pPr>
        <w:adjustRightInd w:val="0"/>
        <w:snapToGrid w:val="0"/>
        <w:rPr>
          <w:sz w:val="28"/>
          <w:szCs w:val="28"/>
        </w:rPr>
      </w:pPr>
    </w:p>
    <w:p w14:paraId="4A3858BF">
      <w:pPr>
        <w:adjustRightInd w:val="0"/>
        <w:snapToGrid w:val="0"/>
        <w:rPr>
          <w:sz w:val="28"/>
          <w:szCs w:val="28"/>
        </w:rPr>
      </w:pPr>
    </w:p>
    <w:p w14:paraId="7FB77A28">
      <w:pPr>
        <w:adjustRightInd w:val="0"/>
        <w:snapToGrid w:val="0"/>
        <w:rPr>
          <w:sz w:val="28"/>
          <w:szCs w:val="28"/>
        </w:rPr>
      </w:pPr>
    </w:p>
    <w:p w14:paraId="711CF581">
      <w:pPr>
        <w:adjustRightInd w:val="0"/>
        <w:snapToGrid w:val="0"/>
        <w:rPr>
          <w:sz w:val="28"/>
          <w:szCs w:val="28"/>
        </w:rPr>
      </w:pPr>
    </w:p>
    <w:p w14:paraId="76B066AA">
      <w:pPr>
        <w:adjustRightInd w:val="0"/>
        <w:snapToGrid w:val="0"/>
        <w:rPr>
          <w:sz w:val="28"/>
          <w:szCs w:val="28"/>
        </w:rPr>
      </w:pPr>
    </w:p>
    <w:p w14:paraId="46F67DC8">
      <w:pPr>
        <w:adjustRightInd w:val="0"/>
        <w:snapToGrid w:val="0"/>
        <w:rPr>
          <w:sz w:val="28"/>
          <w:szCs w:val="28"/>
        </w:rPr>
      </w:pPr>
    </w:p>
    <w:p w14:paraId="2C6D257B">
      <w:pPr>
        <w:adjustRightInd w:val="0"/>
        <w:snapToGrid w:val="0"/>
        <w:rPr>
          <w:sz w:val="28"/>
          <w:szCs w:val="28"/>
        </w:rPr>
      </w:pPr>
    </w:p>
    <w:p w14:paraId="1A88EA0A">
      <w:pPr>
        <w:adjustRightInd w:val="0"/>
        <w:snapToGrid w:val="0"/>
        <w:rPr>
          <w:sz w:val="28"/>
          <w:szCs w:val="28"/>
        </w:rPr>
      </w:pPr>
    </w:p>
    <w:p w14:paraId="01B6B699">
      <w:pPr>
        <w:adjustRightInd w:val="0"/>
        <w:snapToGrid w:val="0"/>
        <w:rPr>
          <w:sz w:val="28"/>
          <w:szCs w:val="28"/>
        </w:rPr>
      </w:pPr>
    </w:p>
    <w:p w14:paraId="1CA4BB1A">
      <w:pPr>
        <w:adjustRightInd w:val="0"/>
        <w:snapToGrid w:val="0"/>
        <w:rPr>
          <w:sz w:val="28"/>
          <w:szCs w:val="28"/>
        </w:rPr>
      </w:pPr>
    </w:p>
    <w:p w14:paraId="7539203A">
      <w:pPr>
        <w:adjustRightInd w:val="0"/>
        <w:snapToGrid w:val="0"/>
        <w:rPr>
          <w:sz w:val="28"/>
          <w:szCs w:val="28"/>
        </w:rPr>
      </w:pPr>
    </w:p>
    <w:p w14:paraId="1595296A">
      <w:pPr>
        <w:adjustRightInd w:val="0"/>
        <w:snapToGrid w:val="0"/>
        <w:rPr>
          <w:sz w:val="28"/>
          <w:szCs w:val="28"/>
        </w:rPr>
      </w:pPr>
    </w:p>
    <w:p w14:paraId="110FD566">
      <w:pPr>
        <w:adjustRightInd w:val="0"/>
        <w:snapToGrid w:val="0"/>
        <w:rPr>
          <w:sz w:val="28"/>
          <w:szCs w:val="28"/>
        </w:rPr>
      </w:pPr>
    </w:p>
    <w:p w14:paraId="2E7BE319">
      <w:pPr>
        <w:adjustRightInd w:val="0"/>
        <w:snapToGrid w:val="0"/>
        <w:rPr>
          <w:sz w:val="28"/>
          <w:szCs w:val="28"/>
        </w:rPr>
      </w:pPr>
    </w:p>
    <w:p w14:paraId="2C4C8AE0">
      <w:pPr>
        <w:keepNext/>
        <w:keepLines/>
        <w:widowControl/>
        <w:numPr>
          <w:ilvl w:val="0"/>
          <w:numId w:val="1"/>
        </w:numPr>
        <w:adjustRightInd w:val="0"/>
        <w:snapToGrid w:val="0"/>
        <w:jc w:val="center"/>
        <w:textAlignment w:val="baseline"/>
        <w:outlineLvl w:val="0"/>
        <w:rPr>
          <w:rFonts w:ascii="仿宋_GB2312" w:hAnsi="仿宋_GB2312" w:cs="仿宋_GB2312"/>
          <w:kern w:val="44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</w:p>
    <w:p w14:paraId="374FE96B">
      <w:pPr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Cs w:val="32"/>
        </w:rPr>
        <w:t>一、装配率计算依据</w:t>
      </w:r>
    </w:p>
    <w:p w14:paraId="4F90F753">
      <w:pPr>
        <w:adjustRightInd w:val="0"/>
        <w:snapToGrid w:val="0"/>
        <w:spacing w:line="56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依据《装配式建筑评价标准》（GBT51129-2017）</w:t>
      </w:r>
    </w:p>
    <w:p w14:paraId="126CA4A3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二、项目基本情况</w:t>
      </w:r>
    </w:p>
    <w:p w14:paraId="1CE65021">
      <w:pPr>
        <w:adjustRightInd w:val="0"/>
        <w:snapToGrid w:val="0"/>
        <w:spacing w:line="560" w:lineRule="exact"/>
        <w:ind w:firstLine="560" w:firstLineChars="200"/>
        <w:jc w:val="left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（一）</w:t>
      </w:r>
      <w:r>
        <w:rPr>
          <w:rFonts w:hint="eastAsia" w:ascii="仿宋_GB2312" w:hAnsi="仿宋_GB2312" w:cs="仿宋_GB2312"/>
          <w:bCs/>
          <w:sz w:val="28"/>
          <w:szCs w:val="28"/>
        </w:rPr>
        <w:t>本项目位于东莞市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bCs/>
          <w:sz w:val="28"/>
          <w:szCs w:val="28"/>
        </w:rPr>
        <w:t>镇（区），共有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cs="仿宋_GB2312"/>
          <w:bCs/>
          <w:sz w:val="28"/>
          <w:szCs w:val="28"/>
        </w:rPr>
        <w:t>栋单体建筑，单体建筑名称为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                                       </w:t>
      </w:r>
      <w:r>
        <w:rPr>
          <w:rFonts w:hint="eastAsia" w:ascii="仿宋_GB2312" w:hAnsi="仿宋_GB2312" w:cs="仿宋_GB2312"/>
          <w:bCs/>
          <w:sz w:val="28"/>
          <w:szCs w:val="28"/>
        </w:rPr>
        <w:t>，其中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仿宋_GB2312" w:hAnsi="仿宋_GB2312" w:cs="仿宋_GB2312"/>
          <w:bCs/>
          <w:sz w:val="28"/>
          <w:szCs w:val="28"/>
        </w:rPr>
        <w:t>（栋号）实施装配式建筑。</w:t>
      </w:r>
    </w:p>
    <w:p w14:paraId="63C262AC">
      <w:pPr>
        <w:adjustRightInd w:val="0"/>
        <w:snapToGrid w:val="0"/>
        <w:spacing w:line="360" w:lineRule="auto"/>
        <w:jc w:val="center"/>
        <w:rPr>
          <w:rFonts w:ascii="仿宋_GB2312" w:hAnsi="仿宋_GB2312" w:cs="仿宋_GB2312"/>
          <w:sz w:val="28"/>
          <w:szCs w:val="28"/>
        </w:rPr>
      </w:pPr>
    </w:p>
    <w:p w14:paraId="4097885D">
      <w:pPr>
        <w:adjustRightInd w:val="0"/>
        <w:snapToGrid w:val="0"/>
        <w:spacing w:line="360" w:lineRule="auto"/>
        <w:jc w:val="center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ascii="仿宋_GB2312" w:hAnsi="仿宋_GB2312" w:cs="仿宋_GB2312"/>
          <w:b/>
          <w:sz w:val="28"/>
          <w:szCs w:val="28"/>
        </w:rPr>
        <w:t>本次申报装配式建筑各楼栋（含未实施装配式建筑单体）信息汇总表</w:t>
      </w:r>
    </w:p>
    <w:tbl>
      <w:tblPr>
        <w:tblStyle w:val="26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09"/>
        <w:gridCol w:w="425"/>
        <w:gridCol w:w="709"/>
        <w:gridCol w:w="992"/>
        <w:gridCol w:w="850"/>
        <w:gridCol w:w="993"/>
        <w:gridCol w:w="992"/>
        <w:gridCol w:w="992"/>
        <w:gridCol w:w="992"/>
      </w:tblGrid>
      <w:tr w14:paraId="1E93B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644887FD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单体建筑名称</w:t>
            </w:r>
          </w:p>
        </w:tc>
        <w:tc>
          <w:tcPr>
            <w:tcW w:w="709" w:type="dxa"/>
            <w:vAlign w:val="center"/>
          </w:tcPr>
          <w:p w14:paraId="4D59113E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总建筑高度</w:t>
            </w:r>
          </w:p>
        </w:tc>
        <w:tc>
          <w:tcPr>
            <w:tcW w:w="425" w:type="dxa"/>
            <w:vAlign w:val="center"/>
          </w:tcPr>
          <w:p w14:paraId="600B28D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总</w:t>
            </w:r>
          </w:p>
          <w:p w14:paraId="586ACAED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层</w:t>
            </w:r>
          </w:p>
          <w:p w14:paraId="28C6BEB5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数</w:t>
            </w:r>
          </w:p>
        </w:tc>
        <w:tc>
          <w:tcPr>
            <w:tcW w:w="709" w:type="dxa"/>
            <w:vAlign w:val="center"/>
          </w:tcPr>
          <w:p w14:paraId="605DB0DF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标准层范围</w:t>
            </w:r>
          </w:p>
        </w:tc>
        <w:tc>
          <w:tcPr>
            <w:tcW w:w="992" w:type="dxa"/>
            <w:vAlign w:val="center"/>
          </w:tcPr>
          <w:p w14:paraId="7281B22F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标准层</w:t>
            </w:r>
          </w:p>
          <w:p w14:paraId="0CAD4BF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层高</w:t>
            </w:r>
          </w:p>
        </w:tc>
        <w:tc>
          <w:tcPr>
            <w:tcW w:w="850" w:type="dxa"/>
            <w:vAlign w:val="center"/>
          </w:tcPr>
          <w:p w14:paraId="21301A4E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是否实施装配式建筑</w:t>
            </w:r>
          </w:p>
        </w:tc>
        <w:tc>
          <w:tcPr>
            <w:tcW w:w="993" w:type="dxa"/>
            <w:vAlign w:val="center"/>
          </w:tcPr>
          <w:p w14:paraId="57884DFD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单体建筑计容面积</w:t>
            </w:r>
          </w:p>
        </w:tc>
        <w:tc>
          <w:tcPr>
            <w:tcW w:w="992" w:type="dxa"/>
          </w:tcPr>
          <w:p w14:paraId="243406E5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实施装配式建筑总计容面积</w:t>
            </w:r>
          </w:p>
        </w:tc>
        <w:tc>
          <w:tcPr>
            <w:tcW w:w="992" w:type="dxa"/>
            <w:vAlign w:val="center"/>
          </w:tcPr>
          <w:p w14:paraId="263F6DC7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各楼栋总计容面积</w:t>
            </w:r>
          </w:p>
        </w:tc>
        <w:tc>
          <w:tcPr>
            <w:tcW w:w="992" w:type="dxa"/>
            <w:vAlign w:val="center"/>
          </w:tcPr>
          <w:p w14:paraId="0887CC4F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实施装配式建筑占比</w:t>
            </w:r>
          </w:p>
        </w:tc>
      </w:tr>
      <w:tr w14:paraId="1376F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3EF4D302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C4DDE54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2E3733DA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86C51C2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F950FBA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E723806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20B8DDB2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5B402FE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0E0FD3D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B94EBCE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6AF12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3F5D4815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9FEF412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7378E01B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A73E29F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096DF9E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1403788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691AD075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Merge w:val="continue"/>
          </w:tcPr>
          <w:p w14:paraId="7235A78B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Merge w:val="continue"/>
          </w:tcPr>
          <w:p w14:paraId="7B6A6936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Merge w:val="continue"/>
          </w:tcPr>
          <w:p w14:paraId="3B8A00FA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7D577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13" w:type="dxa"/>
            <w:vAlign w:val="center"/>
          </w:tcPr>
          <w:p w14:paraId="0AE7B1F1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C483F05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1B96EB02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5E5C293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B8558BD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DDFF565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1DD14F4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Merge w:val="continue"/>
          </w:tcPr>
          <w:p w14:paraId="0F0DA4E6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Merge w:val="continue"/>
          </w:tcPr>
          <w:p w14:paraId="06128751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Merge w:val="continue"/>
          </w:tcPr>
          <w:p w14:paraId="6D2A71E2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5669D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0B569ABA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FBDDDFC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7724981F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8EEDFB4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1FF05D1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3B40F9E"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771FFCD"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Merge w:val="continue"/>
          </w:tcPr>
          <w:p w14:paraId="56316017"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Merge w:val="continue"/>
          </w:tcPr>
          <w:p w14:paraId="09AA956F"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Merge w:val="continue"/>
          </w:tcPr>
          <w:p w14:paraId="56117416"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</w:tbl>
    <w:p w14:paraId="739ECD34">
      <w:pPr>
        <w:adjustRightInd w:val="0"/>
        <w:snapToGrid w:val="0"/>
        <w:spacing w:line="500" w:lineRule="exact"/>
        <w:jc w:val="left"/>
        <w:rPr>
          <w:rFonts w:ascii="仿宋_GB2312" w:hAnsi="仿宋_GB2312" w:cs="仿宋_GB2312"/>
          <w:sz w:val="24"/>
        </w:rPr>
      </w:pPr>
    </w:p>
    <w:p w14:paraId="690E4675">
      <w:pPr>
        <w:adjustRightInd w:val="0"/>
        <w:snapToGrid w:val="0"/>
        <w:spacing w:line="560" w:lineRule="exact"/>
        <w:ind w:firstLine="560" w:firstLineChars="200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（二）本项目采用的预制构件种类有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</w:rPr>
        <w:t>、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</w:rPr>
        <w:t>、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</w:rPr>
        <w:t>、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</w:rPr>
        <w:t>，共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cs="仿宋_GB2312"/>
          <w:sz w:val="28"/>
          <w:szCs w:val="28"/>
        </w:rPr>
        <w:t xml:space="preserve">种。 </w:t>
      </w:r>
    </w:p>
    <w:p w14:paraId="2257EBA8">
      <w:pPr>
        <w:adjustRightInd w:val="0"/>
        <w:snapToGrid w:val="0"/>
        <w:spacing w:line="560" w:lineRule="exact"/>
        <w:ind w:firstLine="560" w:firstLineChars="200"/>
        <w:jc w:val="left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注：预制构件种类包括：预制柱、预制剪力墙、预制外墙、预制延性墙板、预制凸窗、预制叠合梁、预制叠合楼板、钢筋桁架楼承板、预制楼梯、预制阳台、预制空调板、预制内墙板、中空预制构件等。</w:t>
      </w:r>
    </w:p>
    <w:p w14:paraId="1CCA9CBE">
      <w:pPr>
        <w:adjustRightInd w:val="0"/>
        <w:snapToGrid w:val="0"/>
        <w:spacing w:line="560" w:lineRule="exact"/>
        <w:ind w:left="-160" w:leftChars="-50"/>
        <w:jc w:val="left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 xml:space="preserve">     </w:t>
      </w:r>
      <w:r>
        <w:rPr>
          <w:rFonts w:hint="eastAsia" w:ascii="黑体" w:hAnsi="黑体" w:eastAsia="黑体" w:cs="黑体"/>
          <w:bCs/>
          <w:szCs w:val="32"/>
        </w:rPr>
        <w:t>三、装配率计算</w:t>
      </w:r>
    </w:p>
    <w:p w14:paraId="200523A3">
      <w:pPr>
        <w:adjustRightInd w:val="0"/>
        <w:snapToGrid w:val="0"/>
        <w:spacing w:line="560" w:lineRule="exact"/>
        <w:ind w:firstLine="560" w:firstLineChars="200"/>
        <w:jc w:val="lef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申报单位应在评审会上对相关内容进行详细汇报、说明，并提供该项计算的原始数据电子表格、相关装配式建筑专项设计图纸材料。</w:t>
      </w:r>
    </w:p>
    <w:p w14:paraId="69B5A2FF">
      <w:pPr>
        <w:keepNext/>
        <w:keepLines/>
        <w:adjustRightInd w:val="0"/>
        <w:ind w:firstLine="562" w:firstLineChars="200"/>
        <w:jc w:val="left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 w:val="28"/>
          <w:szCs w:val="28"/>
        </w:rPr>
        <w:t>（一）</w:t>
      </w:r>
      <w:r>
        <w:rPr>
          <w:rFonts w:hint="eastAsia" w:ascii="仿宋_GB2312" w:hAnsi="仿宋_GB2312" w:cs="仿宋_GB2312"/>
          <w:b/>
          <w:bCs/>
          <w:sz w:val="28"/>
          <w:szCs w:val="28"/>
          <w:u w:val="single"/>
        </w:rPr>
        <w:t xml:space="preserve">       号楼 </w:t>
      </w:r>
      <w:r>
        <w:rPr>
          <w:rFonts w:hint="eastAsia" w:ascii="仿宋_GB2312" w:hAnsi="仿宋_GB2312" w:cs="仿宋_GB2312"/>
          <w:b/>
          <w:bCs/>
          <w:sz w:val="28"/>
          <w:szCs w:val="28"/>
        </w:rPr>
        <w:t>装配率计算</w:t>
      </w:r>
    </w:p>
    <w:p w14:paraId="19B4E324">
      <w:pPr>
        <w:adjustRightInd w:val="0"/>
        <w:ind w:firstLine="560" w:firstLineChars="200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本建筑共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bCs/>
          <w:sz w:val="28"/>
          <w:szCs w:val="28"/>
        </w:rPr>
        <w:t>层，总高度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bCs/>
          <w:sz w:val="28"/>
          <w:szCs w:val="28"/>
        </w:rPr>
        <w:t>m；其中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bCs/>
          <w:sz w:val="28"/>
          <w:szCs w:val="28"/>
        </w:rPr>
        <w:t>层为标准层，层高</w:t>
      </w:r>
    </w:p>
    <w:p w14:paraId="4C9CE476">
      <w:pPr>
        <w:adjustRightInd w:val="0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cs="仿宋_GB2312"/>
          <w:bCs/>
          <w:sz w:val="28"/>
          <w:szCs w:val="28"/>
        </w:rPr>
        <w:t>m。</w:t>
      </w:r>
    </w:p>
    <w:p w14:paraId="764E2585">
      <w:pPr>
        <w:adjustRightInd w:val="0"/>
        <w:ind w:firstLine="562" w:firstLineChars="200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 w:val="28"/>
          <w:szCs w:val="28"/>
        </w:rPr>
        <w:t>1.主体结构评价分值Q1计算</w:t>
      </w:r>
    </w:p>
    <w:tbl>
      <w:tblPr>
        <w:tblStyle w:val="26"/>
        <w:tblpPr w:leftFromText="180" w:rightFromText="180" w:vertAnchor="text" w:horzAnchor="margin" w:tblpXSpec="center" w:tblpY="181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6"/>
        <w:gridCol w:w="839"/>
        <w:gridCol w:w="2414"/>
        <w:gridCol w:w="1807"/>
        <w:gridCol w:w="1658"/>
        <w:gridCol w:w="1450"/>
      </w:tblGrid>
      <w:tr w14:paraId="0DE918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2DF2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（1）竖向构件预制部品部件应用比例计分表（</w:t>
            </w:r>
            <w:r>
              <w:rPr>
                <w:rFonts w:hint="eastAsia" w:ascii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/>
                <w:spacing w:val="1"/>
                <w:position w:val="-2"/>
                <w:sz w:val="28"/>
                <w:szCs w:val="28"/>
              </w:rPr>
              <w:t>1</w:t>
            </w:r>
            <w:r>
              <w:rPr>
                <w:rFonts w:hint="eastAsia" w:ascii="仿宋_GB2312"/>
                <w:position w:val="-2"/>
                <w:sz w:val="28"/>
                <w:szCs w:val="28"/>
              </w:rPr>
              <w:t>a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）</w:t>
            </w:r>
          </w:p>
        </w:tc>
      </w:tr>
      <w:tr w14:paraId="78B9A6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CBD01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楼层范围</w:t>
            </w:r>
          </w:p>
        </w:tc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4DAAC6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层数</w:t>
            </w:r>
          </w:p>
        </w:tc>
        <w:tc>
          <w:tcPr>
            <w:tcW w:w="136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70BAD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主体结构竖向构件混凝土体积（m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3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0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5D63D9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预制构件混凝土体积（m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3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93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88EF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应用比例(%)</w:t>
            </w:r>
          </w:p>
        </w:tc>
        <w:tc>
          <w:tcPr>
            <w:tcW w:w="81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02E11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评价分值</w:t>
            </w:r>
          </w:p>
        </w:tc>
      </w:tr>
      <w:tr w14:paraId="675F5C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39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B30E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4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CBFA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6A84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0723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3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8022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81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4CB4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  <w:tr w14:paraId="7F9F66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0D41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9E204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C174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AAD1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DCA53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0AABD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03F424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B534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57971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521B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5C4C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AAB7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9CBF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266AEF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2A3D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1BE96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3C1A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D9FD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D028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45B9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  <w:tr w14:paraId="49E39E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90D8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AC1D0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4CC1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A2D1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C748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5C80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77281B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0B35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合计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25F9F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FE1A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E1A1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4C8A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1FFD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</w:tbl>
    <w:p w14:paraId="1F27EC0B">
      <w:pPr>
        <w:adjustRightInd w:val="0"/>
        <w:snapToGrid w:val="0"/>
        <w:spacing w:line="360" w:lineRule="auto"/>
        <w:jc w:val="left"/>
        <w:rPr>
          <w:rFonts w:ascii="仿宋_GB2312" w:hAnsi="仿宋_GB2312" w:cs="仿宋_GB2312"/>
          <w:bCs/>
          <w:sz w:val="24"/>
        </w:rPr>
      </w:pPr>
      <w:r>
        <w:rPr>
          <w:rFonts w:hint="eastAsia" w:ascii="仿宋_GB2312" w:hAnsi="仿宋_GB2312" w:cs="仿宋_GB2312"/>
          <w:bCs/>
          <w:sz w:val="24"/>
        </w:rPr>
        <w:t>注：表中“</w:t>
      </w:r>
      <w:r>
        <w:rPr>
          <w:rFonts w:hint="eastAsia" w:ascii="仿宋_GB2312"/>
          <w:spacing w:val="4"/>
          <w:sz w:val="24"/>
        </w:rPr>
        <w:t>—</w:t>
      </w:r>
      <w:r>
        <w:rPr>
          <w:rFonts w:hint="eastAsia" w:ascii="仿宋_GB2312" w:hAnsi="仿宋_GB2312" w:cs="仿宋_GB2312"/>
          <w:bCs/>
          <w:sz w:val="24"/>
        </w:rPr>
        <w:t>”位置为无需填写栏，下表同。</w:t>
      </w:r>
    </w:p>
    <w:tbl>
      <w:tblPr>
        <w:tblStyle w:val="26"/>
        <w:tblpPr w:leftFromText="180" w:rightFromText="180" w:vertAnchor="text" w:horzAnchor="margin" w:tblpXSpec="center" w:tblpY="181"/>
        <w:tblW w:w="5071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2"/>
        <w:gridCol w:w="1053"/>
        <w:gridCol w:w="2416"/>
        <w:gridCol w:w="1805"/>
        <w:gridCol w:w="1656"/>
        <w:gridCol w:w="1298"/>
      </w:tblGrid>
      <w:tr w14:paraId="1685B4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5F83E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（1a）竖向构件为中空预制部品部件应用比例计分表（</w:t>
            </w:r>
            <w:r>
              <w:rPr>
                <w:rFonts w:hint="eastAsia" w:ascii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/>
                <w:spacing w:val="1"/>
                <w:position w:val="-2"/>
                <w:sz w:val="28"/>
                <w:szCs w:val="28"/>
              </w:rPr>
              <w:t>1</w:t>
            </w:r>
            <w:r>
              <w:rPr>
                <w:rFonts w:hint="eastAsia" w:ascii="仿宋_GB2312"/>
                <w:position w:val="-2"/>
                <w:sz w:val="28"/>
                <w:szCs w:val="28"/>
              </w:rPr>
              <w:t>a1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）</w:t>
            </w:r>
          </w:p>
        </w:tc>
      </w:tr>
      <w:tr w14:paraId="7F99F2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42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AA3BD1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楼层范围</w:t>
            </w:r>
          </w:p>
        </w:tc>
        <w:tc>
          <w:tcPr>
            <w:tcW w:w="58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B6428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层数</w:t>
            </w:r>
          </w:p>
        </w:tc>
        <w:tc>
          <w:tcPr>
            <w:tcW w:w="13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5FE270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主体结构竖向构件体积（m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3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0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CFEFD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中空预制构件体积（m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3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92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7609BA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应用比例(%)</w:t>
            </w:r>
          </w:p>
        </w:tc>
        <w:tc>
          <w:tcPr>
            <w:tcW w:w="72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B2EFE4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评价分值</w:t>
            </w:r>
          </w:p>
        </w:tc>
      </w:tr>
      <w:tr w14:paraId="7465BE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42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6BC7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58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EA817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8635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73A0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2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5B9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72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9BCB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  <w:tr w14:paraId="3F7600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E88D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81E1F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EC43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5B01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3CBD4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0E381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3EEF53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937F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3066B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E596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F292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9CD9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3B79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  <w:tr w14:paraId="2EC114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756F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792EA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473A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9DFA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8AE3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32D1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7E2D82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E1AC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合计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91CB3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85FB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23B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CFB9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FB71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</w:tbl>
    <w:p w14:paraId="5EC61502">
      <w:pPr>
        <w:adjustRightInd w:val="0"/>
        <w:snapToGrid w:val="0"/>
        <w:spacing w:line="360" w:lineRule="auto"/>
        <w:jc w:val="left"/>
        <w:rPr>
          <w:rFonts w:ascii="仿宋_GB2312" w:hAnsi="仿宋_GB2312" w:cs="仿宋_GB2312"/>
          <w:bCs/>
          <w:sz w:val="24"/>
        </w:rPr>
      </w:pPr>
    </w:p>
    <w:tbl>
      <w:tblPr>
        <w:tblStyle w:val="26"/>
        <w:tblpPr w:leftFromText="180" w:rightFromText="180" w:vertAnchor="text" w:horzAnchor="margin" w:tblpXSpec="center" w:tblpY="181"/>
        <w:tblW w:w="4882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03"/>
        <w:gridCol w:w="1662"/>
      </w:tblGrid>
      <w:tr w14:paraId="4102D9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73A61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（1b）</w:t>
            </w: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主体结构为装配式钢结构或钢-混凝土混合结构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计分表（</w:t>
            </w:r>
            <w:r>
              <w:rPr>
                <w:rFonts w:hint="eastAsia" w:ascii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/>
                <w:spacing w:val="1"/>
                <w:position w:val="-2"/>
                <w:sz w:val="28"/>
                <w:szCs w:val="28"/>
              </w:rPr>
              <w:t>1</w:t>
            </w:r>
            <w:r>
              <w:rPr>
                <w:rFonts w:hint="eastAsia" w:ascii="仿宋_GB2312"/>
                <w:position w:val="-2"/>
                <w:sz w:val="28"/>
                <w:szCs w:val="28"/>
              </w:rPr>
              <w:t>a2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）</w:t>
            </w:r>
          </w:p>
        </w:tc>
      </w:tr>
      <w:tr w14:paraId="0E2CC5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404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5F9811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钢结构或钢-混凝土混合结构应用情况说明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C1AB83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评价分值</w:t>
            </w:r>
          </w:p>
        </w:tc>
      </w:tr>
      <w:tr w14:paraId="7D14A4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CB45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30AB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</w:tbl>
    <w:p w14:paraId="59450BAC">
      <w:pPr>
        <w:adjustRightInd w:val="0"/>
        <w:snapToGrid w:val="0"/>
        <w:spacing w:line="360" w:lineRule="auto"/>
        <w:jc w:val="left"/>
        <w:rPr>
          <w:rFonts w:ascii="仿宋_GB2312" w:hAnsi="仿宋_GB2312" w:cs="仿宋_GB2312"/>
          <w:bCs/>
          <w:sz w:val="24"/>
        </w:rPr>
      </w:pPr>
    </w:p>
    <w:p w14:paraId="451FBF06">
      <w:pPr>
        <w:adjustRightInd w:val="0"/>
        <w:snapToGrid w:val="0"/>
        <w:spacing w:line="360" w:lineRule="auto"/>
        <w:jc w:val="left"/>
        <w:rPr>
          <w:rFonts w:ascii="仿宋_GB2312" w:hAnsi="仿宋_GB2312" w:cs="仿宋_GB2312"/>
          <w:bCs/>
          <w:sz w:val="28"/>
          <w:szCs w:val="28"/>
        </w:rPr>
      </w:pPr>
    </w:p>
    <w:tbl>
      <w:tblPr>
        <w:tblStyle w:val="26"/>
        <w:tblW w:w="859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992"/>
        <w:gridCol w:w="2410"/>
        <w:gridCol w:w="1843"/>
        <w:gridCol w:w="1276"/>
        <w:gridCol w:w="1372"/>
      </w:tblGrid>
      <w:tr w14:paraId="66C7A6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5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3F41E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（2）水平构件预制部品部件应用比例计分表（q1b）</w:t>
            </w:r>
          </w:p>
        </w:tc>
      </w:tr>
      <w:tr w14:paraId="5859ED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4560CB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楼层范围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5B41D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层数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8D6A9E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楼层的梁、楼板（含屋面板）楼梯、阳台和空调板等构件的水平投影面积（m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 w:hAnsi="楷体"/>
                <w:spacing w:val="4"/>
                <w:sz w:val="24"/>
              </w:rPr>
              <w:t>）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501BD2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预制构件的水平投影面积（m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 w:hAnsi="楷体"/>
                <w:spacing w:val="4"/>
                <w:sz w:val="24"/>
              </w:rPr>
              <w:t>）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361785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应用比例(%)</w:t>
            </w:r>
          </w:p>
        </w:tc>
        <w:tc>
          <w:tcPr>
            <w:tcW w:w="13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31A10A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评价分值</w:t>
            </w:r>
          </w:p>
        </w:tc>
      </w:tr>
      <w:tr w14:paraId="401D01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53D3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979C3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2DC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D61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DAD6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3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04FE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</w:tr>
      <w:tr w14:paraId="2E2631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3037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744AB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AEF8F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37DEB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B37B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0A5C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4076BA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6CE3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9E0F9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A61C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D56B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F82F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6851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6ADBC4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A30E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22DD7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E0A1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8058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7FD5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513F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22EFB9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2F64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合计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9217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B7E4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2C1F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9147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B1F2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</w:tr>
    </w:tbl>
    <w:p w14:paraId="43D96A5A">
      <w:pPr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仿宋_GB2312" w:cs="仿宋_GB2312"/>
          <w:bCs/>
          <w:sz w:val="28"/>
          <w:szCs w:val="28"/>
        </w:rPr>
      </w:pPr>
    </w:p>
    <w:p w14:paraId="078E2C37">
      <w:pPr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 xml:space="preserve">主体结构评价分值Q1= 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    </w:t>
      </w:r>
    </w:p>
    <w:p w14:paraId="38058596">
      <w:pPr>
        <w:adjustRightInd w:val="0"/>
        <w:snapToGrid w:val="0"/>
        <w:spacing w:before="312" w:beforeLines="100" w:line="360" w:lineRule="auto"/>
        <w:ind w:firstLine="562" w:firstLineChars="200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 w:val="28"/>
          <w:szCs w:val="28"/>
        </w:rPr>
        <w:t>2.围护墙和内隔墙评价分值Q2计算</w:t>
      </w:r>
    </w:p>
    <w:tbl>
      <w:tblPr>
        <w:tblStyle w:val="26"/>
        <w:tblW w:w="85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2"/>
        <w:gridCol w:w="1961"/>
        <w:gridCol w:w="2126"/>
        <w:gridCol w:w="1158"/>
        <w:gridCol w:w="1953"/>
      </w:tblGrid>
      <w:tr w14:paraId="342C43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A1C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层数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66F1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非承重围护墙外表面总面积（m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6574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其中非砌筑墙体的外表面积（m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35E7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应用比例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145E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评价分值</w:t>
            </w:r>
          </w:p>
        </w:tc>
      </w:tr>
      <w:tr w14:paraId="6ECA61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B7CF5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0007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3288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1651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D659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6C78B0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946E9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7E9E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8F1E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80BA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0A59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4E7BCF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3EAE3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E2D7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3659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3497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516B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</w:tbl>
    <w:p w14:paraId="4B83C966">
      <w:pPr>
        <w:adjustRightInd w:val="0"/>
        <w:snapToGrid w:val="0"/>
        <w:spacing w:line="360" w:lineRule="auto"/>
        <w:jc w:val="left"/>
        <w:rPr>
          <w:rFonts w:ascii="仿宋_GB2312" w:hAnsi="仿宋_GB2312" w:cs="仿宋_GB2312"/>
          <w:bCs/>
          <w:sz w:val="24"/>
        </w:rPr>
      </w:pPr>
      <w:r>
        <w:rPr>
          <w:rFonts w:hint="eastAsia" w:ascii="仿宋_GB2312" w:hAnsi="仿宋_GB2312" w:cs="仿宋_GB2312"/>
          <w:bCs/>
          <w:sz w:val="24"/>
        </w:rPr>
        <w:t>注：应在装配式建筑设计说明专篇中说明围护墙非砌筑的做法。</w:t>
      </w:r>
    </w:p>
    <w:p w14:paraId="43DBEBE6">
      <w:pPr>
        <w:pStyle w:val="2"/>
        <w:ind w:left="640"/>
      </w:pPr>
    </w:p>
    <w:tbl>
      <w:tblPr>
        <w:tblStyle w:val="26"/>
        <w:tblW w:w="864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1"/>
        <w:gridCol w:w="848"/>
        <w:gridCol w:w="1701"/>
        <w:gridCol w:w="2693"/>
        <w:gridCol w:w="1371"/>
        <w:gridCol w:w="1413"/>
      </w:tblGrid>
      <w:tr w14:paraId="644C17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6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92ED0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（2）围护墙与保温、隔热、装饰一体化的应用比例计分表（</w:t>
            </w:r>
            <w:r>
              <w:rPr>
                <w:rFonts w:hint="eastAsia" w:ascii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/>
                <w:spacing w:val="1"/>
                <w:position w:val="-2"/>
                <w:sz w:val="28"/>
                <w:szCs w:val="28"/>
              </w:rPr>
              <w:t>2b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）</w:t>
            </w:r>
          </w:p>
        </w:tc>
      </w:tr>
      <w:tr w14:paraId="44CA81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E6EC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楼层范围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706D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层数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8D1D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围护墙外表面总面积（m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18E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其中墙体与保温、隔热、装饰一体化的墙体表面积（m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043B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应用比例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404C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评价分值</w:t>
            </w:r>
          </w:p>
        </w:tc>
      </w:tr>
      <w:tr w14:paraId="235349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8279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02AC7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4FA1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1D57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D5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DDDA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3F8CB3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AD7F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03CF3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4C11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545F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DA70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7D12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55448F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C787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A459A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9689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F0A7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1405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C886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06FF86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CCFF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合计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83382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A7B9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DCF1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7E8C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8D7B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</w:tbl>
    <w:p w14:paraId="6AABBE3F">
      <w:pPr>
        <w:adjustRightInd w:val="0"/>
        <w:snapToGrid w:val="0"/>
        <w:spacing w:line="360" w:lineRule="auto"/>
        <w:jc w:val="left"/>
        <w:rPr>
          <w:rFonts w:ascii="仿宋_GB2312" w:hAnsi="仿宋_GB2312" w:cs="仿宋_GB2312"/>
          <w:bCs/>
          <w:sz w:val="24"/>
        </w:rPr>
      </w:pPr>
      <w:r>
        <w:rPr>
          <w:rFonts w:hint="eastAsia" w:ascii="仿宋_GB2312" w:hAnsi="仿宋_GB2312" w:cs="仿宋_GB2312"/>
          <w:bCs/>
          <w:sz w:val="24"/>
        </w:rPr>
        <w:t>注：应在装配式建筑设计说明专篇中说明墙体与保温、隔热、装饰一体化的做法。</w:t>
      </w:r>
    </w:p>
    <w:p w14:paraId="4F9D8180">
      <w:pPr>
        <w:pStyle w:val="15"/>
        <w:adjustRightInd w:val="0"/>
        <w:snapToGrid w:val="0"/>
        <w:spacing w:before="83"/>
        <w:ind w:left="160" w:leftChars="50"/>
        <w:jc w:val="left"/>
        <w:rPr>
          <w:rFonts w:ascii="仿宋_GB2312" w:hAnsi="仿宋_GB2312" w:cs="仿宋_GB2312"/>
          <w:bCs/>
          <w:sz w:val="28"/>
          <w:szCs w:val="28"/>
        </w:rPr>
      </w:pPr>
    </w:p>
    <w:tbl>
      <w:tblPr>
        <w:tblStyle w:val="26"/>
        <w:tblW w:w="869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7"/>
        <w:gridCol w:w="1235"/>
        <w:gridCol w:w="2162"/>
        <w:gridCol w:w="1852"/>
        <w:gridCol w:w="1543"/>
        <w:gridCol w:w="1228"/>
      </w:tblGrid>
      <w:tr w14:paraId="5947FD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6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C45E4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（3）内隔墙中非砌筑墙体的应用比例计分表（</w:t>
            </w:r>
            <w:r>
              <w:rPr>
                <w:rFonts w:hint="eastAsia" w:ascii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/>
                <w:spacing w:val="1"/>
                <w:position w:val="-2"/>
                <w:sz w:val="28"/>
                <w:szCs w:val="28"/>
              </w:rPr>
              <w:t>2</w:t>
            </w:r>
            <w:r>
              <w:rPr>
                <w:rFonts w:hint="eastAsia" w:ascii="仿宋_GB2312"/>
                <w:position w:val="-2"/>
                <w:sz w:val="28"/>
                <w:szCs w:val="28"/>
              </w:rPr>
              <w:t>c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）</w:t>
            </w:r>
          </w:p>
        </w:tc>
      </w:tr>
      <w:tr w14:paraId="55AB05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9203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楼层范围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AC3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层数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156B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内隔墙墙面总面积（m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E11A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z w:val="24"/>
              </w:rPr>
              <w:t>其中</w:t>
            </w:r>
            <w:r>
              <w:rPr>
                <w:rFonts w:hint="eastAsia" w:ascii="仿宋_GB2312"/>
                <w:spacing w:val="4"/>
                <w:sz w:val="24"/>
              </w:rPr>
              <w:t>非砌筑面积（m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732A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应用比例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0CBC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评价分值</w:t>
            </w:r>
          </w:p>
        </w:tc>
      </w:tr>
      <w:tr w14:paraId="75F3F3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FDF5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D9CF6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CD35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4DDA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AC48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8F3A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7E3072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CD02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032C8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6204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93E2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3E61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C73C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7EA757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1B17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E5377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DE04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BE6D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CE11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569B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</w:tr>
      <w:tr w14:paraId="2E4BC6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80E2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E0236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982F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2480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0F92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E493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7F20B3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8D5B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合计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3B0C4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ED6F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6DBB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0CE1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609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</w:tbl>
    <w:p w14:paraId="5BD5D9F9">
      <w:pPr>
        <w:adjustRightInd w:val="0"/>
        <w:snapToGrid w:val="0"/>
        <w:spacing w:line="360" w:lineRule="auto"/>
        <w:jc w:val="left"/>
        <w:rPr>
          <w:rFonts w:ascii="仿宋_GB2312" w:hAnsi="仿宋_GB2312" w:cs="仿宋_GB2312"/>
          <w:bCs/>
          <w:sz w:val="24"/>
        </w:rPr>
      </w:pPr>
      <w:r>
        <w:rPr>
          <w:rFonts w:hint="eastAsia" w:ascii="仿宋_GB2312" w:hAnsi="仿宋_GB2312" w:cs="仿宋_GB2312"/>
          <w:bCs/>
          <w:sz w:val="24"/>
        </w:rPr>
        <w:t>注：应在装配式建筑设计说明专篇中说明内隔墙中非砌筑的做法。</w:t>
      </w:r>
    </w:p>
    <w:p w14:paraId="250C1A1A">
      <w:pPr>
        <w:pStyle w:val="15"/>
        <w:adjustRightInd w:val="0"/>
        <w:snapToGrid w:val="0"/>
        <w:spacing w:before="83"/>
        <w:ind w:left="160" w:leftChars="50"/>
        <w:jc w:val="left"/>
        <w:rPr>
          <w:rFonts w:ascii="仿宋_GB2312" w:hAnsi="仿宋_GB2312" w:cs="仿宋_GB2312"/>
          <w:bCs/>
        </w:rPr>
      </w:pPr>
    </w:p>
    <w:tbl>
      <w:tblPr>
        <w:tblStyle w:val="26"/>
        <w:tblW w:w="878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1174"/>
        <w:gridCol w:w="1842"/>
        <w:gridCol w:w="2289"/>
        <w:gridCol w:w="1559"/>
        <w:gridCol w:w="1216"/>
      </w:tblGrid>
      <w:tr w14:paraId="07B943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7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2350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（4）内隔墙采用墙体、管线、装修一体化的应用比例计分表（</w:t>
            </w:r>
            <w:r>
              <w:rPr>
                <w:rFonts w:hint="eastAsia" w:ascii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/>
                <w:spacing w:val="1"/>
                <w:position w:val="-2"/>
                <w:sz w:val="28"/>
                <w:szCs w:val="28"/>
              </w:rPr>
              <w:t>2</w:t>
            </w:r>
            <w:r>
              <w:rPr>
                <w:rFonts w:hint="eastAsia" w:ascii="仿宋_GB2312"/>
                <w:position w:val="-2"/>
                <w:sz w:val="28"/>
                <w:szCs w:val="28"/>
              </w:rPr>
              <w:t>d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）</w:t>
            </w:r>
          </w:p>
        </w:tc>
      </w:tr>
      <w:tr w14:paraId="3B20CE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C289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楼层范围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63B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层数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2DF4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内隔墙墙面总面积（m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F84E3">
            <w:pPr>
              <w:widowControl/>
              <w:adjustRightInd w:val="0"/>
              <w:snapToGrid w:val="0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z w:val="24"/>
              </w:rPr>
              <w:t>其中</w:t>
            </w:r>
            <w:r>
              <w:rPr>
                <w:rFonts w:hint="eastAsia" w:ascii="仿宋_GB2312"/>
                <w:spacing w:val="4"/>
                <w:sz w:val="24"/>
              </w:rPr>
              <w:t>墙体与管线、装修一体化的墙体表面积（m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35C6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应用比例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DECC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评价分值</w:t>
            </w:r>
          </w:p>
        </w:tc>
      </w:tr>
      <w:tr w14:paraId="7983AE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4E6E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0C875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CCA9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F9A9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F083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8C03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353A75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ABF9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FB92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E94C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919A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7AE4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8963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0FCE07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C77B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B3168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837E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C002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3474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1438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31BA12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A713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合计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F9EE9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BB82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CDE0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2275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DA8B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</w:tbl>
    <w:p w14:paraId="25968368">
      <w:pPr>
        <w:adjustRightInd w:val="0"/>
        <w:snapToGrid w:val="0"/>
        <w:spacing w:line="360" w:lineRule="auto"/>
        <w:jc w:val="left"/>
        <w:rPr>
          <w:rFonts w:ascii="仿宋_GB2312" w:hAnsi="仿宋_GB2312" w:cs="仿宋_GB2312"/>
          <w:bCs/>
          <w:sz w:val="24"/>
        </w:rPr>
      </w:pPr>
      <w:r>
        <w:rPr>
          <w:rFonts w:hint="eastAsia" w:ascii="仿宋_GB2312" w:hAnsi="仿宋_GB2312" w:cs="仿宋_GB2312"/>
          <w:bCs/>
          <w:sz w:val="24"/>
        </w:rPr>
        <w:t>注：应在装配式建筑设计说明专篇中说明内隔墙与管线、装饰一体化的做法。</w:t>
      </w:r>
    </w:p>
    <w:p w14:paraId="3E7EB5F5"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 xml:space="preserve">围护墙和内隔墙评价分值Q2= 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    </w:t>
      </w:r>
    </w:p>
    <w:p w14:paraId="48A1006C">
      <w:pPr>
        <w:adjustRightInd w:val="0"/>
        <w:snapToGrid w:val="0"/>
        <w:spacing w:line="560" w:lineRule="exact"/>
        <w:ind w:firstLine="562" w:firstLineChars="200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 w:val="28"/>
          <w:szCs w:val="28"/>
        </w:rPr>
        <w:t>3.装修与设备管线评价分值Q3计算</w:t>
      </w:r>
    </w:p>
    <w:p w14:paraId="2456E787"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（1）全装修（</w:t>
      </w:r>
      <w:r>
        <w:rPr>
          <w:rFonts w:hint="eastAsia" w:ascii="仿宋_GB2312"/>
          <w:i/>
          <w:sz w:val="28"/>
          <w:szCs w:val="28"/>
        </w:rPr>
        <w:t>q</w:t>
      </w:r>
      <w:r>
        <w:rPr>
          <w:rFonts w:hint="eastAsia" w:ascii="仿宋_GB2312"/>
          <w:spacing w:val="1"/>
          <w:position w:val="-2"/>
          <w:sz w:val="28"/>
          <w:szCs w:val="28"/>
        </w:rPr>
        <w:t>3</w:t>
      </w:r>
      <w:r>
        <w:rPr>
          <w:rFonts w:hint="eastAsia" w:ascii="仿宋_GB2312"/>
          <w:position w:val="-2"/>
          <w:sz w:val="28"/>
          <w:szCs w:val="28"/>
        </w:rPr>
        <w:t>a</w:t>
      </w:r>
      <w:r>
        <w:rPr>
          <w:rFonts w:hint="eastAsia" w:ascii="仿宋_GB2312" w:hAnsi="仿宋_GB2312" w:cs="仿宋_GB2312"/>
          <w:bCs/>
          <w:sz w:val="28"/>
          <w:szCs w:val="28"/>
        </w:rPr>
        <w:t>）</w:t>
      </w:r>
    </w:p>
    <w:p w14:paraId="61C418E7">
      <w:pPr>
        <w:adjustRightInd w:val="0"/>
        <w:snapToGrid w:val="0"/>
        <w:spacing w:line="560" w:lineRule="exact"/>
        <w:ind w:firstLine="560" w:firstLineChars="200"/>
        <w:jc w:val="left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①.X栋x层全装修方案图</w:t>
      </w:r>
    </w:p>
    <w:p w14:paraId="1AAC953D"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（附PDF和纸质版附件）</w:t>
      </w:r>
    </w:p>
    <w:p w14:paraId="0AE59CD4">
      <w:pPr>
        <w:adjustRightInd w:val="0"/>
        <w:snapToGrid w:val="0"/>
        <w:spacing w:line="560" w:lineRule="exact"/>
        <w:ind w:firstLine="560" w:firstLineChars="200"/>
        <w:jc w:val="left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②.X栋xx层全装修方案图</w:t>
      </w:r>
    </w:p>
    <w:p w14:paraId="4069414F"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（附PDF和纸质版附件）</w:t>
      </w:r>
    </w:p>
    <w:tbl>
      <w:tblPr>
        <w:tblStyle w:val="26"/>
        <w:tblW w:w="878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744"/>
        <w:gridCol w:w="2625"/>
        <w:gridCol w:w="1985"/>
        <w:gridCol w:w="1559"/>
        <w:gridCol w:w="1309"/>
      </w:tblGrid>
      <w:tr w14:paraId="0C53D1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7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D3A11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（2）干式</w:t>
            </w:r>
            <w:r>
              <w:rPr>
                <w:rFonts w:hint="eastAsia" w:ascii="仿宋_GB2312" w:hAnsi="宋体" w:cs="宋体"/>
                <w:spacing w:val="-3"/>
                <w:sz w:val="28"/>
                <w:szCs w:val="28"/>
              </w:rPr>
              <w:t>工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法</w:t>
            </w:r>
            <w:r>
              <w:rPr>
                <w:rFonts w:hint="eastAsia" w:ascii="仿宋_GB2312" w:hAnsi="宋体" w:cs="宋体"/>
                <w:spacing w:val="-3"/>
                <w:sz w:val="28"/>
                <w:szCs w:val="28"/>
              </w:rPr>
              <w:t>的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楼</w:t>
            </w:r>
            <w:r>
              <w:rPr>
                <w:rFonts w:hint="eastAsia" w:ascii="仿宋_GB2312" w:hAnsi="宋体" w:cs="宋体"/>
                <w:spacing w:val="-3"/>
                <w:sz w:val="28"/>
                <w:szCs w:val="28"/>
              </w:rPr>
              <w:t>面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、</w:t>
            </w:r>
            <w:r>
              <w:rPr>
                <w:rFonts w:hint="eastAsia" w:ascii="仿宋_GB2312" w:hAnsi="宋体" w:cs="宋体"/>
                <w:spacing w:val="-3"/>
                <w:sz w:val="28"/>
                <w:szCs w:val="28"/>
              </w:rPr>
              <w:t>地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面</w:t>
            </w: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的应用比例计分表（</w:t>
            </w:r>
            <w:r>
              <w:rPr>
                <w:rFonts w:hint="eastAsia" w:ascii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/>
                <w:spacing w:val="1"/>
                <w:position w:val="-2"/>
                <w:sz w:val="28"/>
                <w:szCs w:val="28"/>
              </w:rPr>
              <w:t>3</w:t>
            </w:r>
            <w:r>
              <w:rPr>
                <w:rFonts w:hint="eastAsia" w:ascii="仿宋_GB2312"/>
                <w:position w:val="-2"/>
                <w:sz w:val="28"/>
                <w:szCs w:val="28"/>
              </w:rPr>
              <w:t>b</w:t>
            </w: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）</w:t>
            </w:r>
          </w:p>
        </w:tc>
      </w:tr>
      <w:tr w14:paraId="55F64D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68A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楼层范围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71C8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层数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A5ED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z w:val="24"/>
              </w:rPr>
              <w:t>楼面、地面总面积</w:t>
            </w:r>
            <w:r>
              <w:rPr>
                <w:rFonts w:hint="eastAsia" w:ascii="仿宋_GB2312"/>
                <w:spacing w:val="4"/>
                <w:sz w:val="24"/>
              </w:rPr>
              <w:t>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，扣除厨房、卫生间部分）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7463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-3"/>
                <w:sz w:val="24"/>
              </w:rPr>
              <w:t>其中干</w:t>
            </w:r>
            <w:r>
              <w:rPr>
                <w:rFonts w:hint="eastAsia" w:ascii="仿宋_GB2312"/>
                <w:sz w:val="24"/>
              </w:rPr>
              <w:t>式工法面积</w:t>
            </w:r>
            <w:r>
              <w:rPr>
                <w:rFonts w:hint="eastAsia" w:ascii="仿宋_GB2312"/>
                <w:spacing w:val="4"/>
                <w:sz w:val="24"/>
              </w:rPr>
              <w:t>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42A9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应用比例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A8F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评价分值</w:t>
            </w:r>
          </w:p>
        </w:tc>
      </w:tr>
      <w:tr w14:paraId="788A12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1723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467CE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06A5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34F6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A2FC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11E5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1055DB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B805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F3C91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C446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2372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E88B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F89C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317894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C2E9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56B62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8D70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83DC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3A93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0790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</w:tr>
      <w:tr w14:paraId="18426F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3907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1DF87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B630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159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CB0E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DF36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584BF0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7A4B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合计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48C03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AEE2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594B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B5AB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4CE7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</w:tbl>
    <w:p w14:paraId="0A016B4B">
      <w:pPr>
        <w:adjustRightInd w:val="0"/>
        <w:snapToGrid w:val="0"/>
        <w:spacing w:line="360" w:lineRule="auto"/>
        <w:jc w:val="left"/>
        <w:rPr>
          <w:rFonts w:ascii="仿宋_GB2312" w:hAnsi="仿宋_GB2312" w:cs="仿宋_GB2312"/>
          <w:bCs/>
          <w:sz w:val="24"/>
        </w:rPr>
      </w:pPr>
      <w:r>
        <w:rPr>
          <w:rFonts w:hint="eastAsia" w:ascii="仿宋_GB2312" w:hAnsi="仿宋_GB2312" w:cs="仿宋_GB2312"/>
          <w:bCs/>
          <w:sz w:val="24"/>
        </w:rPr>
        <w:t>注：应在装配式建筑设计说明专篇中说明干式工法的做法。</w:t>
      </w:r>
    </w:p>
    <w:p w14:paraId="2DEFE8E7">
      <w:pPr>
        <w:pStyle w:val="15"/>
        <w:adjustRightInd w:val="0"/>
        <w:snapToGrid w:val="0"/>
        <w:spacing w:before="83"/>
        <w:ind w:left="160" w:leftChars="50"/>
        <w:jc w:val="left"/>
        <w:rPr>
          <w:rFonts w:ascii="仿宋_GB2312" w:hAnsi="仿宋_GB2312" w:cs="仿宋_GB2312"/>
          <w:bCs/>
        </w:rPr>
      </w:pPr>
    </w:p>
    <w:tbl>
      <w:tblPr>
        <w:tblStyle w:val="26"/>
        <w:tblW w:w="878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2"/>
        <w:gridCol w:w="1036"/>
        <w:gridCol w:w="2200"/>
        <w:gridCol w:w="1985"/>
        <w:gridCol w:w="1559"/>
        <w:gridCol w:w="1442"/>
      </w:tblGrid>
      <w:tr w14:paraId="4EEA59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7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D7BBB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（3）集成厨房干式工法的应用比例计分表（</w:t>
            </w:r>
            <w:r>
              <w:rPr>
                <w:rFonts w:hint="eastAsia" w:ascii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/>
                <w:spacing w:val="1"/>
                <w:position w:val="-2"/>
                <w:sz w:val="28"/>
                <w:szCs w:val="28"/>
              </w:rPr>
              <w:t>3c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）</w:t>
            </w:r>
          </w:p>
        </w:tc>
      </w:tr>
      <w:tr w14:paraId="433E0B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4D54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楼层范围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EFA7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层数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6D3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-3"/>
                <w:sz w:val="24"/>
              </w:rPr>
              <w:t>厨房墙</w:t>
            </w:r>
            <w:r>
              <w:rPr>
                <w:rFonts w:hint="eastAsia" w:ascii="仿宋_GB2312"/>
                <w:sz w:val="24"/>
              </w:rPr>
              <w:t>面、顶面和地面的总面积</w:t>
            </w:r>
            <w:r>
              <w:rPr>
                <w:rFonts w:hint="eastAsia" w:ascii="仿宋_GB2312"/>
                <w:spacing w:val="4"/>
                <w:sz w:val="24"/>
              </w:rPr>
              <w:t>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049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z w:val="24"/>
              </w:rPr>
              <w:t>其中干式工法面积</w:t>
            </w:r>
            <w:r>
              <w:rPr>
                <w:rFonts w:hint="eastAsia" w:ascii="仿宋_GB2312"/>
                <w:spacing w:val="4"/>
                <w:sz w:val="24"/>
              </w:rPr>
              <w:t>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10C8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应用比例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19B8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评价分值</w:t>
            </w:r>
          </w:p>
        </w:tc>
      </w:tr>
      <w:tr w14:paraId="0F5BAE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51C5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6011C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4BDD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9E80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0FFE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9A2C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623318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E4350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CADD3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B350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5703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8DEB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7808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39C1C7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28E4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9853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BF04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6902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1C8E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C240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152BF6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A61C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合计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B2095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D832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381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D3C2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BC70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</w:tbl>
    <w:p w14:paraId="1B36D4AB">
      <w:pPr>
        <w:adjustRightInd w:val="0"/>
        <w:snapToGrid w:val="0"/>
        <w:spacing w:line="360" w:lineRule="auto"/>
        <w:jc w:val="left"/>
        <w:rPr>
          <w:rFonts w:ascii="仿宋_GB2312" w:hAnsi="仿宋_GB2312" w:cs="仿宋_GB2312"/>
          <w:bCs/>
          <w:sz w:val="24"/>
        </w:rPr>
      </w:pPr>
      <w:r>
        <w:rPr>
          <w:rFonts w:hint="eastAsia" w:ascii="仿宋_GB2312" w:hAnsi="仿宋_GB2312" w:cs="仿宋_GB2312"/>
          <w:bCs/>
          <w:sz w:val="24"/>
        </w:rPr>
        <w:t>注：应在装配式建筑设计说明专篇中说明集成厨房干式工法的做法。</w:t>
      </w:r>
    </w:p>
    <w:tbl>
      <w:tblPr>
        <w:tblStyle w:val="26"/>
        <w:tblW w:w="88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2"/>
        <w:gridCol w:w="894"/>
        <w:gridCol w:w="2200"/>
        <w:gridCol w:w="1985"/>
        <w:gridCol w:w="1559"/>
        <w:gridCol w:w="1600"/>
      </w:tblGrid>
      <w:tr w14:paraId="497027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32A37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（4）集成卫生间干式工法的应用比例计分表（</w:t>
            </w:r>
            <w:r>
              <w:rPr>
                <w:rFonts w:hint="eastAsia" w:ascii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/>
                <w:spacing w:val="1"/>
                <w:position w:val="-2"/>
                <w:sz w:val="28"/>
                <w:szCs w:val="28"/>
              </w:rPr>
              <w:t>3d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）</w:t>
            </w:r>
          </w:p>
        </w:tc>
      </w:tr>
      <w:tr w14:paraId="1EA9A9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658D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楼层范围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6BD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层数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C8D4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z w:val="24"/>
              </w:rPr>
              <w:t>卫生间</w:t>
            </w:r>
            <w:r>
              <w:rPr>
                <w:rFonts w:hint="eastAsia" w:ascii="仿宋_GB2312"/>
                <w:spacing w:val="-3"/>
                <w:sz w:val="24"/>
              </w:rPr>
              <w:t>墙</w:t>
            </w:r>
            <w:r>
              <w:rPr>
                <w:rFonts w:hint="eastAsia" w:ascii="仿宋_GB2312"/>
                <w:sz w:val="24"/>
              </w:rPr>
              <w:t>面、顶面和地面的总面积</w:t>
            </w:r>
            <w:r>
              <w:rPr>
                <w:rFonts w:hint="eastAsia" w:ascii="仿宋_GB2312"/>
                <w:spacing w:val="4"/>
                <w:sz w:val="24"/>
              </w:rPr>
              <w:t>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30A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z w:val="24"/>
              </w:rPr>
              <w:t>其中干式工法面积</w:t>
            </w:r>
            <w:r>
              <w:rPr>
                <w:rFonts w:hint="eastAsia" w:ascii="仿宋_GB2312"/>
                <w:spacing w:val="4"/>
                <w:sz w:val="24"/>
              </w:rPr>
              <w:t>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C75E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应用比例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698B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评价分值</w:t>
            </w:r>
          </w:p>
        </w:tc>
      </w:tr>
      <w:tr w14:paraId="523E46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B921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CFFD8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13DD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4A38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11D1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63CE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175A56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AC05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B7257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9068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CDE1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E7C1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DDAC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691200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79BF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366C7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67FA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7C1B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8AE2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C6F0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41D59B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ACD3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合计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25DEF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F10D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503B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44A7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A78D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</w:tbl>
    <w:p w14:paraId="4E113788">
      <w:pPr>
        <w:pStyle w:val="15"/>
        <w:adjustRightInd w:val="0"/>
        <w:snapToGrid w:val="0"/>
        <w:spacing w:before="83"/>
        <w:ind w:left="160" w:leftChars="50"/>
        <w:jc w:val="left"/>
        <w:rPr>
          <w:rFonts w:ascii="仿宋_GB2312" w:hAnsi="仿宋_GB2312" w:cs="仿宋_GB2312"/>
          <w:bCs/>
        </w:rPr>
      </w:pPr>
      <w:r>
        <w:rPr>
          <w:rFonts w:hint="eastAsia" w:ascii="仿宋_GB2312" w:hAnsi="仿宋_GB2312" w:cs="仿宋_GB2312"/>
          <w:bCs/>
          <w:sz w:val="24"/>
        </w:rPr>
        <w:t>注：应在装配式建筑设计说明专篇中说明集成卫生间干式工法的做法。</w:t>
      </w:r>
    </w:p>
    <w:p w14:paraId="3E2616FA">
      <w:pPr>
        <w:pStyle w:val="15"/>
        <w:adjustRightInd w:val="0"/>
        <w:snapToGrid w:val="0"/>
        <w:spacing w:before="83"/>
        <w:ind w:left="160" w:leftChars="50"/>
        <w:jc w:val="left"/>
        <w:rPr>
          <w:rFonts w:ascii="仿宋_GB2312" w:hAnsi="仿宋_GB2312" w:cs="仿宋_GB2312"/>
          <w:bCs/>
          <w:sz w:val="28"/>
          <w:szCs w:val="28"/>
        </w:rPr>
      </w:pPr>
    </w:p>
    <w:tbl>
      <w:tblPr>
        <w:tblStyle w:val="26"/>
        <w:tblW w:w="880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749"/>
        <w:gridCol w:w="2341"/>
        <w:gridCol w:w="1985"/>
        <w:gridCol w:w="1559"/>
        <w:gridCol w:w="1600"/>
      </w:tblGrid>
      <w:tr w14:paraId="48D738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8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C439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（5）管线分离的应用比例计分表（</w:t>
            </w:r>
            <w:r>
              <w:rPr>
                <w:rFonts w:hint="eastAsia" w:ascii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/>
                <w:spacing w:val="1"/>
                <w:position w:val="-2"/>
                <w:sz w:val="28"/>
                <w:szCs w:val="28"/>
              </w:rPr>
              <w:t>3e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）</w:t>
            </w:r>
          </w:p>
        </w:tc>
      </w:tr>
      <w:tr w14:paraId="5F5D0F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8860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楼层范围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2FF9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层数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5E7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z w:val="24"/>
              </w:rPr>
              <w:t>电气、给水、排水和采暖管线的总长度</w:t>
            </w:r>
            <w:r>
              <w:rPr>
                <w:rFonts w:hint="eastAsia" w:ascii="仿宋_GB2312"/>
                <w:spacing w:val="4"/>
                <w:sz w:val="24"/>
              </w:rPr>
              <w:t>（m）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19C6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其中管</w:t>
            </w:r>
            <w:r>
              <w:rPr>
                <w:rFonts w:hint="eastAsia" w:ascii="仿宋_GB2312"/>
                <w:spacing w:val="2"/>
                <w:sz w:val="24"/>
              </w:rPr>
              <w:t>线分</w:t>
            </w:r>
            <w:r>
              <w:rPr>
                <w:rFonts w:hint="eastAsia" w:ascii="仿宋_GB2312"/>
                <w:spacing w:val="4"/>
                <w:sz w:val="24"/>
              </w:rPr>
              <w:t>离的</w:t>
            </w:r>
            <w:r>
              <w:rPr>
                <w:rFonts w:hint="eastAsia" w:ascii="仿宋_GB2312"/>
                <w:spacing w:val="2"/>
                <w:sz w:val="24"/>
              </w:rPr>
              <w:t>长</w:t>
            </w:r>
            <w:r>
              <w:rPr>
                <w:rFonts w:hint="eastAsia" w:ascii="仿宋_GB2312"/>
                <w:spacing w:val="4"/>
                <w:sz w:val="24"/>
              </w:rPr>
              <w:t>度（m）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D1C1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应用比例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80E1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评价分值</w:t>
            </w:r>
          </w:p>
        </w:tc>
      </w:tr>
      <w:tr w14:paraId="0C4959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677A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849E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623B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D4DD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BBA6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BE19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4770A4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3D0E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18E8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3CCF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5FF2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5E49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778A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34549F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378B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F509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F889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D011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F396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AF93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  <w:tr w14:paraId="5D6A4A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4E4B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5DDD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529E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E02B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56DD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2E27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777F7D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D7B7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合计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8D7C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6C0B6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6DB49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9B0F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1D97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</w:tbl>
    <w:p w14:paraId="7A131181">
      <w:pPr>
        <w:pStyle w:val="15"/>
        <w:adjustRightInd w:val="0"/>
        <w:snapToGrid w:val="0"/>
        <w:spacing w:before="83"/>
        <w:ind w:left="160" w:leftChars="50"/>
        <w:jc w:val="left"/>
        <w:rPr>
          <w:rFonts w:ascii="仿宋_GB2312" w:hAnsi="仿宋_GB2312" w:cs="仿宋_GB2312"/>
          <w:bCs/>
          <w:sz w:val="24"/>
        </w:rPr>
      </w:pPr>
      <w:r>
        <w:rPr>
          <w:rFonts w:hint="eastAsia" w:ascii="仿宋_GB2312" w:hAnsi="仿宋_GB2312" w:cs="仿宋_GB2312"/>
          <w:bCs/>
          <w:sz w:val="24"/>
        </w:rPr>
        <w:t>注：应在装配式建筑设计说明专篇中说明管线分离的做法。</w:t>
      </w:r>
    </w:p>
    <w:p w14:paraId="0160BAA1"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装修与设备管线评价分值Q3=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      </w:t>
      </w:r>
    </w:p>
    <w:p w14:paraId="19585140">
      <w:pPr>
        <w:adjustRightInd w:val="0"/>
        <w:snapToGrid w:val="0"/>
        <w:spacing w:line="360" w:lineRule="auto"/>
        <w:ind w:firstLine="562" w:firstLineChars="200"/>
        <w:rPr>
          <w:rFonts w:ascii="仿宋_GB2312" w:hAnsi="仿宋_GB2312" w:cs="仿宋_GB2312"/>
          <w:b/>
          <w:bCs/>
          <w:sz w:val="28"/>
          <w:szCs w:val="28"/>
        </w:rPr>
      </w:pPr>
    </w:p>
    <w:p w14:paraId="106DFAD4">
      <w:pPr>
        <w:adjustRightInd w:val="0"/>
        <w:snapToGrid w:val="0"/>
        <w:spacing w:line="360" w:lineRule="auto"/>
        <w:ind w:firstLine="562" w:firstLineChars="200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 w:val="28"/>
          <w:szCs w:val="28"/>
          <w:lang w:val="en-US" w:eastAsia="zh-CN"/>
        </w:rPr>
        <w:t>4</w:t>
      </w:r>
      <w:bookmarkStart w:id="1" w:name="_GoBack"/>
      <w:bookmarkEnd w:id="1"/>
      <w:r>
        <w:rPr>
          <w:rFonts w:hint="eastAsia" w:ascii="仿宋_GB2312" w:hAnsi="仿宋_GB2312" w:cs="仿宋_GB2312"/>
          <w:b/>
          <w:bCs/>
          <w:sz w:val="28"/>
          <w:szCs w:val="28"/>
        </w:rPr>
        <w:t>.装配率计算</w:t>
      </w:r>
    </w:p>
    <w:tbl>
      <w:tblPr>
        <w:tblStyle w:val="26"/>
        <w:tblW w:w="54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954"/>
        <w:gridCol w:w="1358"/>
        <w:gridCol w:w="1059"/>
        <w:gridCol w:w="1040"/>
        <w:gridCol w:w="796"/>
        <w:gridCol w:w="762"/>
        <w:gridCol w:w="762"/>
        <w:gridCol w:w="1220"/>
      </w:tblGrid>
      <w:tr w14:paraId="16EE1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  <w:jc w:val="center"/>
        </w:trPr>
        <w:tc>
          <w:tcPr>
            <w:tcW w:w="2589" w:type="dxa"/>
            <w:gridSpan w:val="2"/>
            <w:vAlign w:val="center"/>
          </w:tcPr>
          <w:p w14:paraId="0A3E69F3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评价项</w:t>
            </w:r>
          </w:p>
        </w:tc>
        <w:tc>
          <w:tcPr>
            <w:tcW w:w="1355" w:type="dxa"/>
            <w:vAlign w:val="center"/>
          </w:tcPr>
          <w:p w14:paraId="3D81CB23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评价要求</w:t>
            </w:r>
          </w:p>
        </w:tc>
        <w:tc>
          <w:tcPr>
            <w:tcW w:w="1057" w:type="dxa"/>
            <w:vAlign w:val="center"/>
          </w:tcPr>
          <w:p w14:paraId="4ADD639D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评价分值</w:t>
            </w:r>
          </w:p>
        </w:tc>
        <w:tc>
          <w:tcPr>
            <w:tcW w:w="1038" w:type="dxa"/>
            <w:vAlign w:val="center"/>
          </w:tcPr>
          <w:p w14:paraId="051C217B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最低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分值</w:t>
            </w:r>
          </w:p>
        </w:tc>
        <w:tc>
          <w:tcPr>
            <w:tcW w:w="794" w:type="dxa"/>
            <w:vAlign w:val="center"/>
          </w:tcPr>
          <w:p w14:paraId="3A2B7268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实际 比例</w:t>
            </w:r>
          </w:p>
        </w:tc>
        <w:tc>
          <w:tcPr>
            <w:tcW w:w="760" w:type="dxa"/>
            <w:vAlign w:val="center"/>
          </w:tcPr>
          <w:p w14:paraId="7BDE9768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实际 得分</w:t>
            </w:r>
          </w:p>
        </w:tc>
        <w:tc>
          <w:tcPr>
            <w:tcW w:w="760" w:type="dxa"/>
            <w:vAlign w:val="center"/>
          </w:tcPr>
          <w:p w14:paraId="14EB47FB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合计</w:t>
            </w:r>
          </w:p>
          <w:p w14:paraId="2AE5C8A6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得分</w:t>
            </w:r>
          </w:p>
        </w:tc>
        <w:tc>
          <w:tcPr>
            <w:tcW w:w="1216" w:type="dxa"/>
            <w:vAlign w:val="center"/>
          </w:tcPr>
          <w:p w14:paraId="4DAEFA83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是否满足最低要求</w:t>
            </w:r>
          </w:p>
        </w:tc>
      </w:tr>
      <w:tr w14:paraId="639CB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exact"/>
          <w:jc w:val="center"/>
        </w:trPr>
        <w:tc>
          <w:tcPr>
            <w:tcW w:w="639" w:type="dxa"/>
            <w:vMerge w:val="restart"/>
            <w:vAlign w:val="center"/>
          </w:tcPr>
          <w:p w14:paraId="330F5214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Q1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主体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结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构</w:t>
            </w:r>
          </w:p>
          <w:p w14:paraId="3534CBAA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（50</w:t>
            </w:r>
            <w:r>
              <w:rPr>
                <w:rFonts w:hint="eastAsia" w:ascii="仿宋_GB2312" w:hAnsi="Times New Roman" w:eastAsia="仿宋_GB2312" w:cs="宋体"/>
                <w:spacing w:val="-5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分）</w:t>
            </w:r>
          </w:p>
        </w:tc>
        <w:tc>
          <w:tcPr>
            <w:tcW w:w="1950" w:type="dxa"/>
            <w:vAlign w:val="center"/>
          </w:tcPr>
          <w:p w14:paraId="02815EF8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柱、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支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撑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承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重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墙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延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墙板等竖向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构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件</w:t>
            </w: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  <w:lang w:eastAsia="zh-CN"/>
              </w:rPr>
              <w:t>q1a）</w:t>
            </w:r>
          </w:p>
        </w:tc>
        <w:tc>
          <w:tcPr>
            <w:tcW w:w="1355" w:type="dxa"/>
            <w:vAlign w:val="center"/>
          </w:tcPr>
          <w:p w14:paraId="4D05AB0F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35%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≤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比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例</w:t>
            </w:r>
            <w:r>
              <w:rPr>
                <w:rFonts w:hint="eastAsia" w:ascii="仿宋_GB2312" w:hAnsi="Times New Roman" w:eastAsia="仿宋_GB2312" w:cs="宋体"/>
                <w:spacing w:val="-1"/>
                <w:sz w:val="24"/>
                <w:szCs w:val="24"/>
              </w:rPr>
              <w:t>≤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80%</w:t>
            </w:r>
          </w:p>
        </w:tc>
        <w:tc>
          <w:tcPr>
            <w:tcW w:w="1057" w:type="dxa"/>
            <w:vAlign w:val="center"/>
          </w:tcPr>
          <w:p w14:paraId="3581EF7C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20～3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0*</w:t>
            </w:r>
          </w:p>
        </w:tc>
        <w:tc>
          <w:tcPr>
            <w:tcW w:w="1038" w:type="dxa"/>
            <w:vMerge w:val="restart"/>
            <w:vAlign w:val="center"/>
          </w:tcPr>
          <w:p w14:paraId="5D4A1A25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20</w:t>
            </w:r>
          </w:p>
        </w:tc>
        <w:tc>
          <w:tcPr>
            <w:tcW w:w="794" w:type="dxa"/>
          </w:tcPr>
          <w:p w14:paraId="11420645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60" w:type="dxa"/>
            <w:vAlign w:val="center"/>
          </w:tcPr>
          <w:p w14:paraId="5B29EE45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60" w:type="dxa"/>
            <w:vMerge w:val="restart"/>
            <w:vAlign w:val="center"/>
          </w:tcPr>
          <w:p w14:paraId="31CB8FEC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vMerge w:val="restart"/>
            <w:vAlign w:val="center"/>
          </w:tcPr>
          <w:p w14:paraId="633E16B5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□是     □否</w:t>
            </w:r>
          </w:p>
        </w:tc>
      </w:tr>
      <w:tr w14:paraId="63CEA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639" w:type="dxa"/>
            <w:vMerge w:val="continue"/>
            <w:vAlign w:val="center"/>
          </w:tcPr>
          <w:p w14:paraId="3664F413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50" w:type="dxa"/>
            <w:vAlign w:val="center"/>
          </w:tcPr>
          <w:p w14:paraId="0F661D6F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梁、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板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、梯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阳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台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空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调板 等构件</w:t>
            </w: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  <w:lang w:eastAsia="zh-CN"/>
              </w:rPr>
              <w:t>q1b）</w:t>
            </w:r>
          </w:p>
        </w:tc>
        <w:tc>
          <w:tcPr>
            <w:tcW w:w="1355" w:type="dxa"/>
            <w:vAlign w:val="center"/>
          </w:tcPr>
          <w:p w14:paraId="7DC753BE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70%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≤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比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例</w:t>
            </w:r>
            <w:r>
              <w:rPr>
                <w:rFonts w:hint="eastAsia" w:ascii="仿宋_GB2312" w:hAnsi="Times New Roman" w:eastAsia="仿宋_GB2312" w:cs="宋体"/>
                <w:spacing w:val="-1"/>
                <w:sz w:val="24"/>
                <w:szCs w:val="24"/>
              </w:rPr>
              <w:t>≤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80%</w:t>
            </w:r>
          </w:p>
        </w:tc>
        <w:tc>
          <w:tcPr>
            <w:tcW w:w="1057" w:type="dxa"/>
            <w:vAlign w:val="center"/>
          </w:tcPr>
          <w:p w14:paraId="7FB84A43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10～2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0*</w:t>
            </w:r>
          </w:p>
        </w:tc>
        <w:tc>
          <w:tcPr>
            <w:tcW w:w="1038" w:type="dxa"/>
            <w:vMerge w:val="continue"/>
            <w:vAlign w:val="center"/>
          </w:tcPr>
          <w:p w14:paraId="3CBBD73D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94" w:type="dxa"/>
          </w:tcPr>
          <w:p w14:paraId="59B02FFE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60" w:type="dxa"/>
            <w:vAlign w:val="center"/>
          </w:tcPr>
          <w:p w14:paraId="1D8A7ABE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4B8AD784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vMerge w:val="continue"/>
            <w:vAlign w:val="center"/>
          </w:tcPr>
          <w:p w14:paraId="34665C74">
            <w:pPr>
              <w:adjustRightInd w:val="0"/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</w:tr>
      <w:tr w14:paraId="156E0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39" w:type="dxa"/>
            <w:vMerge w:val="restart"/>
            <w:vAlign w:val="center"/>
          </w:tcPr>
          <w:p w14:paraId="1B81A426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Q2围护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墙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和 内隔墙</w:t>
            </w:r>
          </w:p>
          <w:p w14:paraId="7C8394AB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（20</w:t>
            </w:r>
            <w:r>
              <w:rPr>
                <w:rFonts w:hint="eastAsia" w:ascii="仿宋_GB2312" w:hAnsi="Times New Roman" w:eastAsia="仿宋_GB2312" w:cs="宋体"/>
                <w:spacing w:val="-5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1950" w:type="dxa"/>
            <w:vAlign w:val="center"/>
          </w:tcPr>
          <w:p w14:paraId="18AE5312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非承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重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围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护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墙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非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砌筑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(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</w:rPr>
              <w:t>q2a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355" w:type="dxa"/>
            <w:vAlign w:val="center"/>
          </w:tcPr>
          <w:p w14:paraId="0B2272F9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比例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≥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80%</w:t>
            </w:r>
          </w:p>
        </w:tc>
        <w:tc>
          <w:tcPr>
            <w:tcW w:w="1057" w:type="dxa"/>
            <w:vAlign w:val="center"/>
          </w:tcPr>
          <w:p w14:paraId="6A7239E2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5</w:t>
            </w:r>
          </w:p>
        </w:tc>
        <w:tc>
          <w:tcPr>
            <w:tcW w:w="1038" w:type="dxa"/>
            <w:vMerge w:val="restart"/>
            <w:vAlign w:val="center"/>
          </w:tcPr>
          <w:p w14:paraId="7D2062B9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10</w:t>
            </w:r>
          </w:p>
        </w:tc>
        <w:tc>
          <w:tcPr>
            <w:tcW w:w="794" w:type="dxa"/>
          </w:tcPr>
          <w:p w14:paraId="20C5EACF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60" w:type="dxa"/>
            <w:vAlign w:val="center"/>
          </w:tcPr>
          <w:p w14:paraId="3EB5A48F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60" w:type="dxa"/>
            <w:vMerge w:val="restart"/>
            <w:vAlign w:val="center"/>
          </w:tcPr>
          <w:p w14:paraId="0900C1BF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vMerge w:val="restart"/>
            <w:vAlign w:val="center"/>
          </w:tcPr>
          <w:p w14:paraId="7092FBBC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□是     □否</w:t>
            </w:r>
          </w:p>
        </w:tc>
      </w:tr>
      <w:tr w14:paraId="4C6C0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exact"/>
          <w:jc w:val="center"/>
        </w:trPr>
        <w:tc>
          <w:tcPr>
            <w:tcW w:w="639" w:type="dxa"/>
            <w:vMerge w:val="continue"/>
            <w:vAlign w:val="center"/>
          </w:tcPr>
          <w:p w14:paraId="4A31CC4C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50" w:type="dxa"/>
            <w:vAlign w:val="center"/>
          </w:tcPr>
          <w:p w14:paraId="06FB2845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围护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墙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保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温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隔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热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装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饰集成一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体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化</w:t>
            </w: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  <w:lang w:eastAsia="zh-CN"/>
              </w:rPr>
              <w:t>q2b）</w:t>
            </w:r>
          </w:p>
        </w:tc>
        <w:tc>
          <w:tcPr>
            <w:tcW w:w="1355" w:type="dxa"/>
            <w:vAlign w:val="center"/>
          </w:tcPr>
          <w:p w14:paraId="48CDFDB5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50%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≤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比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例</w:t>
            </w:r>
            <w:r>
              <w:rPr>
                <w:rFonts w:hint="eastAsia" w:ascii="仿宋_GB2312" w:hAnsi="Times New Roman" w:eastAsia="仿宋_GB2312" w:cs="宋体"/>
                <w:spacing w:val="-1"/>
                <w:sz w:val="24"/>
                <w:szCs w:val="24"/>
              </w:rPr>
              <w:t>≤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80%</w:t>
            </w:r>
          </w:p>
        </w:tc>
        <w:tc>
          <w:tcPr>
            <w:tcW w:w="1057" w:type="dxa"/>
            <w:vAlign w:val="center"/>
          </w:tcPr>
          <w:p w14:paraId="3BD5F794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2～5*</w:t>
            </w:r>
          </w:p>
        </w:tc>
        <w:tc>
          <w:tcPr>
            <w:tcW w:w="1038" w:type="dxa"/>
            <w:vMerge w:val="continue"/>
            <w:vAlign w:val="center"/>
          </w:tcPr>
          <w:p w14:paraId="7AA96359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94" w:type="dxa"/>
          </w:tcPr>
          <w:p w14:paraId="0BA1FE00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60" w:type="dxa"/>
            <w:vAlign w:val="center"/>
          </w:tcPr>
          <w:p w14:paraId="0C129210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3D4EC826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vMerge w:val="continue"/>
            <w:vAlign w:val="center"/>
          </w:tcPr>
          <w:p w14:paraId="64D526ED">
            <w:pPr>
              <w:adjustRightInd w:val="0"/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</w:tr>
      <w:tr w14:paraId="2398C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exact"/>
          <w:jc w:val="center"/>
        </w:trPr>
        <w:tc>
          <w:tcPr>
            <w:tcW w:w="639" w:type="dxa"/>
            <w:vMerge w:val="continue"/>
            <w:vAlign w:val="center"/>
          </w:tcPr>
          <w:p w14:paraId="1E2E3516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50" w:type="dxa"/>
            <w:vAlign w:val="center"/>
          </w:tcPr>
          <w:p w14:paraId="4609F9F2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内隔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墙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非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砌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筑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(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</w:rPr>
              <w:t>q2c）</w:t>
            </w:r>
          </w:p>
        </w:tc>
        <w:tc>
          <w:tcPr>
            <w:tcW w:w="1355" w:type="dxa"/>
            <w:vAlign w:val="center"/>
          </w:tcPr>
          <w:p w14:paraId="5E2A5C2F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比例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≥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50%</w:t>
            </w:r>
          </w:p>
        </w:tc>
        <w:tc>
          <w:tcPr>
            <w:tcW w:w="1057" w:type="dxa"/>
            <w:vAlign w:val="center"/>
          </w:tcPr>
          <w:p w14:paraId="29AF6297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5</w:t>
            </w:r>
          </w:p>
        </w:tc>
        <w:tc>
          <w:tcPr>
            <w:tcW w:w="1038" w:type="dxa"/>
            <w:vMerge w:val="continue"/>
            <w:vAlign w:val="center"/>
          </w:tcPr>
          <w:p w14:paraId="7417924F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94" w:type="dxa"/>
          </w:tcPr>
          <w:p w14:paraId="042FBDAF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60" w:type="dxa"/>
            <w:vAlign w:val="center"/>
          </w:tcPr>
          <w:p w14:paraId="742781F1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7FAA1808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vMerge w:val="continue"/>
            <w:vAlign w:val="center"/>
          </w:tcPr>
          <w:p w14:paraId="2A7BFD1C">
            <w:pPr>
              <w:adjustRightInd w:val="0"/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</w:tr>
      <w:tr w14:paraId="7EF3A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exact"/>
          <w:jc w:val="center"/>
        </w:trPr>
        <w:tc>
          <w:tcPr>
            <w:tcW w:w="639" w:type="dxa"/>
            <w:vMerge w:val="continue"/>
            <w:vAlign w:val="center"/>
          </w:tcPr>
          <w:p w14:paraId="719A97BE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50" w:type="dxa"/>
            <w:vAlign w:val="center"/>
          </w:tcPr>
          <w:p w14:paraId="0FC7A898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内隔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墙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管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线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装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修集成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体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化</w:t>
            </w: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  <w:lang w:eastAsia="zh-CN"/>
              </w:rPr>
              <w:t>q2d）</w:t>
            </w:r>
          </w:p>
        </w:tc>
        <w:tc>
          <w:tcPr>
            <w:tcW w:w="1355" w:type="dxa"/>
            <w:vAlign w:val="center"/>
          </w:tcPr>
          <w:p w14:paraId="338CECF3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50%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≤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比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例</w:t>
            </w:r>
            <w:r>
              <w:rPr>
                <w:rFonts w:hint="eastAsia" w:ascii="仿宋_GB2312" w:hAnsi="Times New Roman" w:eastAsia="仿宋_GB2312" w:cs="宋体"/>
                <w:spacing w:val="-1"/>
                <w:sz w:val="24"/>
                <w:szCs w:val="24"/>
              </w:rPr>
              <w:t>≤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80%</w:t>
            </w:r>
          </w:p>
        </w:tc>
        <w:tc>
          <w:tcPr>
            <w:tcW w:w="1057" w:type="dxa"/>
            <w:vAlign w:val="center"/>
          </w:tcPr>
          <w:p w14:paraId="0D2B3EA5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2～5*</w:t>
            </w:r>
          </w:p>
        </w:tc>
        <w:tc>
          <w:tcPr>
            <w:tcW w:w="1038" w:type="dxa"/>
            <w:vMerge w:val="continue"/>
            <w:vAlign w:val="center"/>
          </w:tcPr>
          <w:p w14:paraId="41667329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94" w:type="dxa"/>
          </w:tcPr>
          <w:p w14:paraId="1D0553A4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60" w:type="dxa"/>
            <w:vAlign w:val="center"/>
          </w:tcPr>
          <w:p w14:paraId="7170CD60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6634C335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vMerge w:val="continue"/>
            <w:vAlign w:val="center"/>
          </w:tcPr>
          <w:p w14:paraId="4DE59CEF">
            <w:pPr>
              <w:adjustRightInd w:val="0"/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</w:tr>
      <w:tr w14:paraId="59036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639" w:type="dxa"/>
            <w:vMerge w:val="restart"/>
            <w:vAlign w:val="center"/>
          </w:tcPr>
          <w:p w14:paraId="2D046FF8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Q3装修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设 备管线</w:t>
            </w:r>
          </w:p>
          <w:p w14:paraId="68387271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（30</w:t>
            </w:r>
            <w:r>
              <w:rPr>
                <w:rFonts w:hint="eastAsia" w:ascii="仿宋_GB2312" w:hAnsi="Times New Roman" w:eastAsia="仿宋_GB2312" w:cs="宋体"/>
                <w:spacing w:val="-5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1950" w:type="dxa"/>
            <w:vAlign w:val="center"/>
          </w:tcPr>
          <w:p w14:paraId="551E56A4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全装修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(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</w:rPr>
              <w:t>q3a）</w:t>
            </w:r>
          </w:p>
        </w:tc>
        <w:tc>
          <w:tcPr>
            <w:tcW w:w="1355" w:type="dxa"/>
            <w:vAlign w:val="center"/>
          </w:tcPr>
          <w:p w14:paraId="7A18E3ED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-</w:t>
            </w:r>
          </w:p>
        </w:tc>
        <w:tc>
          <w:tcPr>
            <w:tcW w:w="1057" w:type="dxa"/>
            <w:vAlign w:val="center"/>
          </w:tcPr>
          <w:p w14:paraId="775017AF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6</w:t>
            </w:r>
          </w:p>
        </w:tc>
        <w:tc>
          <w:tcPr>
            <w:tcW w:w="1038" w:type="dxa"/>
            <w:vAlign w:val="center"/>
          </w:tcPr>
          <w:p w14:paraId="41F912D2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14:paraId="3DA54687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60" w:type="dxa"/>
            <w:vAlign w:val="center"/>
          </w:tcPr>
          <w:p w14:paraId="50A7E1A2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60" w:type="dxa"/>
            <w:vMerge w:val="restart"/>
            <w:vAlign w:val="center"/>
          </w:tcPr>
          <w:p w14:paraId="6B49AC46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vAlign w:val="center"/>
          </w:tcPr>
          <w:p w14:paraId="21B7489F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□是 □否</w:t>
            </w:r>
          </w:p>
        </w:tc>
      </w:tr>
      <w:tr w14:paraId="1AC2A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exact"/>
          <w:jc w:val="center"/>
        </w:trPr>
        <w:tc>
          <w:tcPr>
            <w:tcW w:w="639" w:type="dxa"/>
            <w:vMerge w:val="continue"/>
            <w:vAlign w:val="center"/>
          </w:tcPr>
          <w:p w14:paraId="6A264A5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50" w:type="dxa"/>
            <w:vAlign w:val="center"/>
          </w:tcPr>
          <w:p w14:paraId="7ACE1404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干式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法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楼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面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面</w:t>
            </w: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  <w:lang w:eastAsia="zh-CN"/>
              </w:rPr>
              <w:t>q3b）</w:t>
            </w:r>
          </w:p>
        </w:tc>
        <w:tc>
          <w:tcPr>
            <w:tcW w:w="1355" w:type="dxa"/>
            <w:vAlign w:val="center"/>
          </w:tcPr>
          <w:p w14:paraId="350D53CF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比例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≥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70%</w:t>
            </w:r>
          </w:p>
        </w:tc>
        <w:tc>
          <w:tcPr>
            <w:tcW w:w="1057" w:type="dxa"/>
            <w:vAlign w:val="center"/>
          </w:tcPr>
          <w:p w14:paraId="5930AE69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6</w:t>
            </w:r>
          </w:p>
        </w:tc>
        <w:tc>
          <w:tcPr>
            <w:tcW w:w="1038" w:type="dxa"/>
            <w:vAlign w:val="center"/>
          </w:tcPr>
          <w:p w14:paraId="218EBE2C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─</w:t>
            </w:r>
          </w:p>
        </w:tc>
        <w:tc>
          <w:tcPr>
            <w:tcW w:w="794" w:type="dxa"/>
          </w:tcPr>
          <w:p w14:paraId="084A61E8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60" w:type="dxa"/>
            <w:vAlign w:val="center"/>
          </w:tcPr>
          <w:p w14:paraId="7992A6A4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0C3A908E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vMerge w:val="restart"/>
            <w:vAlign w:val="center"/>
          </w:tcPr>
          <w:p w14:paraId="7E6D5F0F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─</w:t>
            </w:r>
          </w:p>
        </w:tc>
      </w:tr>
      <w:tr w14:paraId="104AC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exact"/>
          <w:jc w:val="center"/>
        </w:trPr>
        <w:tc>
          <w:tcPr>
            <w:tcW w:w="639" w:type="dxa"/>
            <w:vMerge w:val="continue"/>
            <w:vAlign w:val="center"/>
          </w:tcPr>
          <w:p w14:paraId="627D46E6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50" w:type="dxa"/>
            <w:vAlign w:val="center"/>
          </w:tcPr>
          <w:p w14:paraId="5B2AD578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集成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厨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房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(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</w:rPr>
              <w:t>q3c）</w:t>
            </w:r>
          </w:p>
        </w:tc>
        <w:tc>
          <w:tcPr>
            <w:tcW w:w="1355" w:type="dxa"/>
            <w:vAlign w:val="center"/>
          </w:tcPr>
          <w:p w14:paraId="6445C3F0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70%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≤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比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例</w:t>
            </w:r>
            <w:r>
              <w:rPr>
                <w:rFonts w:hint="eastAsia" w:ascii="仿宋_GB2312" w:hAnsi="Times New Roman" w:eastAsia="仿宋_GB2312" w:cs="宋体"/>
                <w:spacing w:val="-1"/>
                <w:sz w:val="24"/>
                <w:szCs w:val="24"/>
              </w:rPr>
              <w:t>≤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90%</w:t>
            </w:r>
          </w:p>
        </w:tc>
        <w:tc>
          <w:tcPr>
            <w:tcW w:w="1057" w:type="dxa"/>
            <w:vAlign w:val="center"/>
          </w:tcPr>
          <w:p w14:paraId="40CAE69D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3～6*</w:t>
            </w:r>
          </w:p>
        </w:tc>
        <w:tc>
          <w:tcPr>
            <w:tcW w:w="1038" w:type="dxa"/>
            <w:vAlign w:val="center"/>
          </w:tcPr>
          <w:p w14:paraId="0D6F420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94" w:type="dxa"/>
          </w:tcPr>
          <w:p w14:paraId="57B0FB1D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60" w:type="dxa"/>
            <w:vAlign w:val="center"/>
          </w:tcPr>
          <w:p w14:paraId="55F0F6FC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25C2AF27">
            <w:pPr>
              <w:adjustRightInd w:val="0"/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216" w:type="dxa"/>
            <w:vMerge w:val="continue"/>
            <w:vAlign w:val="center"/>
          </w:tcPr>
          <w:p w14:paraId="32A50523">
            <w:pPr>
              <w:adjustRightInd w:val="0"/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</w:tr>
      <w:tr w14:paraId="4CBE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  <w:jc w:val="center"/>
        </w:trPr>
        <w:tc>
          <w:tcPr>
            <w:tcW w:w="639" w:type="dxa"/>
            <w:vMerge w:val="continue"/>
            <w:vAlign w:val="center"/>
          </w:tcPr>
          <w:p w14:paraId="4140D55D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50" w:type="dxa"/>
            <w:vAlign w:val="center"/>
          </w:tcPr>
          <w:p w14:paraId="3DE40524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集成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卫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生间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(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</w:rPr>
              <w:t>q3d）</w:t>
            </w:r>
          </w:p>
        </w:tc>
        <w:tc>
          <w:tcPr>
            <w:tcW w:w="1355" w:type="dxa"/>
            <w:vAlign w:val="center"/>
          </w:tcPr>
          <w:p w14:paraId="409D970E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70%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≤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比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例</w:t>
            </w:r>
            <w:r>
              <w:rPr>
                <w:rFonts w:hint="eastAsia" w:ascii="仿宋_GB2312" w:hAnsi="Times New Roman" w:eastAsia="仿宋_GB2312" w:cs="宋体"/>
                <w:spacing w:val="-1"/>
                <w:sz w:val="24"/>
                <w:szCs w:val="24"/>
              </w:rPr>
              <w:t>≤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90%</w:t>
            </w:r>
          </w:p>
        </w:tc>
        <w:tc>
          <w:tcPr>
            <w:tcW w:w="1057" w:type="dxa"/>
            <w:vAlign w:val="center"/>
          </w:tcPr>
          <w:p w14:paraId="3E4C54EA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3～6*</w:t>
            </w:r>
          </w:p>
        </w:tc>
        <w:tc>
          <w:tcPr>
            <w:tcW w:w="1038" w:type="dxa"/>
            <w:vAlign w:val="center"/>
          </w:tcPr>
          <w:p w14:paraId="0AAA4848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94" w:type="dxa"/>
          </w:tcPr>
          <w:p w14:paraId="38866CE4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60" w:type="dxa"/>
            <w:vAlign w:val="center"/>
          </w:tcPr>
          <w:p w14:paraId="4DF4F509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3181EAAD">
            <w:pPr>
              <w:adjustRightInd w:val="0"/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216" w:type="dxa"/>
            <w:vMerge w:val="continue"/>
            <w:vAlign w:val="center"/>
          </w:tcPr>
          <w:p w14:paraId="5374887A">
            <w:pPr>
              <w:adjustRightInd w:val="0"/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</w:tr>
      <w:tr w14:paraId="0187E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exact"/>
          <w:jc w:val="center"/>
        </w:trPr>
        <w:tc>
          <w:tcPr>
            <w:tcW w:w="639" w:type="dxa"/>
            <w:vMerge w:val="continue"/>
            <w:vAlign w:val="center"/>
          </w:tcPr>
          <w:p w14:paraId="3059515F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50" w:type="dxa"/>
            <w:vAlign w:val="center"/>
          </w:tcPr>
          <w:p w14:paraId="751398BD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管线分离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(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</w:rPr>
              <w:t>q3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  <w:lang w:eastAsia="zh-CN"/>
              </w:rPr>
              <w:t>e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</w:rPr>
              <w:t>）</w:t>
            </w:r>
          </w:p>
        </w:tc>
        <w:tc>
          <w:tcPr>
            <w:tcW w:w="1355" w:type="dxa"/>
            <w:vAlign w:val="center"/>
          </w:tcPr>
          <w:p w14:paraId="75873C1A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50%≤比例≤70%</w:t>
            </w:r>
          </w:p>
        </w:tc>
        <w:tc>
          <w:tcPr>
            <w:tcW w:w="1057" w:type="dxa"/>
            <w:vAlign w:val="center"/>
          </w:tcPr>
          <w:p w14:paraId="62B9D0B8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4～6*</w:t>
            </w:r>
          </w:p>
        </w:tc>
        <w:tc>
          <w:tcPr>
            <w:tcW w:w="1038" w:type="dxa"/>
            <w:vAlign w:val="center"/>
          </w:tcPr>
          <w:p w14:paraId="292218D1">
            <w:pPr>
              <w:adjustRightInd w:val="0"/>
              <w:snapToGrid w:val="0"/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94" w:type="dxa"/>
          </w:tcPr>
          <w:p w14:paraId="304CFFDD">
            <w:pPr>
              <w:adjustRightInd w:val="0"/>
              <w:snapToGrid w:val="0"/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60" w:type="dxa"/>
            <w:vAlign w:val="center"/>
          </w:tcPr>
          <w:p w14:paraId="033EA1CA">
            <w:pPr>
              <w:adjustRightInd w:val="0"/>
              <w:snapToGrid w:val="0"/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1CE83871">
            <w:pPr>
              <w:adjustRightInd w:val="0"/>
              <w:snapToGrid w:val="0"/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1216" w:type="dxa"/>
            <w:vMerge w:val="continue"/>
            <w:vAlign w:val="center"/>
          </w:tcPr>
          <w:p w14:paraId="11256EE7">
            <w:pPr>
              <w:adjustRightInd w:val="0"/>
              <w:snapToGrid w:val="0"/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</w:tr>
      <w:tr w14:paraId="6A0D2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exact"/>
          <w:jc w:val="center"/>
        </w:trPr>
        <w:tc>
          <w:tcPr>
            <w:tcW w:w="6039" w:type="dxa"/>
            <w:gridSpan w:val="5"/>
            <w:vAlign w:val="center"/>
          </w:tcPr>
          <w:p w14:paraId="1A46264E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合计评价得分</w:t>
            </w:r>
          </w:p>
        </w:tc>
        <w:tc>
          <w:tcPr>
            <w:tcW w:w="794" w:type="dxa"/>
            <w:vAlign w:val="center"/>
          </w:tcPr>
          <w:p w14:paraId="238C7E77">
            <w:pPr>
              <w:pStyle w:val="58"/>
              <w:adjustRightInd w:val="0"/>
              <w:snapToGrid w:val="0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─</w:t>
            </w:r>
          </w:p>
        </w:tc>
        <w:tc>
          <w:tcPr>
            <w:tcW w:w="760" w:type="dxa"/>
            <w:vAlign w:val="center"/>
          </w:tcPr>
          <w:p w14:paraId="3C2F817E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─</w:t>
            </w:r>
          </w:p>
        </w:tc>
        <w:tc>
          <w:tcPr>
            <w:tcW w:w="760" w:type="dxa"/>
            <w:vAlign w:val="center"/>
          </w:tcPr>
          <w:p w14:paraId="6C949A0B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vAlign w:val="center"/>
          </w:tcPr>
          <w:p w14:paraId="361915A6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─</w:t>
            </w:r>
          </w:p>
        </w:tc>
      </w:tr>
      <w:tr w14:paraId="7FE9E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  <w:jc w:val="center"/>
        </w:trPr>
        <w:tc>
          <w:tcPr>
            <w:tcW w:w="6039" w:type="dxa"/>
            <w:gridSpan w:val="5"/>
            <w:vAlign w:val="center"/>
          </w:tcPr>
          <w:p w14:paraId="39782ABB">
            <w:pPr>
              <w:adjustRightInd w:val="0"/>
              <w:snapToGrid w:val="0"/>
              <w:jc w:val="center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cs="仿宋_GB2312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b/>
                <w:sz w:val="24"/>
              </w:rPr>
              <w:t>楼单体建筑装配率</w:t>
            </w:r>
          </w:p>
        </w:tc>
        <w:tc>
          <w:tcPr>
            <w:tcW w:w="794" w:type="dxa"/>
          </w:tcPr>
          <w:p w14:paraId="01724EAB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36" w:type="dxa"/>
            <w:gridSpan w:val="3"/>
            <w:vAlign w:val="center"/>
          </w:tcPr>
          <w:p w14:paraId="39A2EAB7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0539DAD8">
      <w:pPr>
        <w:adjustRightInd w:val="0"/>
        <w:snapToGrid w:val="0"/>
        <w:spacing w:line="560" w:lineRule="exact"/>
        <w:ind w:firstLine="562" w:firstLineChars="200"/>
        <w:rPr>
          <w:rFonts w:ascii="仿宋_GB2312" w:hAnsi="仿宋_GB2312" w:cs="仿宋_GB2312"/>
          <w:b/>
          <w:bCs/>
          <w:sz w:val="28"/>
          <w:szCs w:val="28"/>
        </w:rPr>
      </w:pPr>
    </w:p>
    <w:p w14:paraId="45B40F52">
      <w:pPr>
        <w:keepNext/>
        <w:keepLines/>
        <w:adjustRightInd w:val="0"/>
        <w:snapToGrid w:val="0"/>
        <w:spacing w:line="560" w:lineRule="exact"/>
        <w:ind w:firstLine="562" w:firstLineChars="200"/>
        <w:jc w:val="left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 w:val="28"/>
          <w:szCs w:val="28"/>
        </w:rPr>
        <w:t>（二）</w:t>
      </w:r>
      <w:r>
        <w:rPr>
          <w:rFonts w:hint="eastAsia" w:ascii="仿宋_GB2312" w:hAnsi="仿宋_GB2312" w:cs="仿宋_GB2312"/>
          <w:b/>
          <w:bCs/>
          <w:sz w:val="28"/>
          <w:szCs w:val="28"/>
          <w:u w:val="single"/>
        </w:rPr>
        <w:t xml:space="preserve">      号楼 </w:t>
      </w:r>
      <w:r>
        <w:rPr>
          <w:rFonts w:hint="eastAsia" w:ascii="仿宋_GB2312" w:hAnsi="仿宋_GB2312" w:cs="仿宋_GB2312"/>
          <w:b/>
          <w:bCs/>
          <w:sz w:val="28"/>
          <w:szCs w:val="28"/>
        </w:rPr>
        <w:t>装配率计算</w:t>
      </w:r>
    </w:p>
    <w:p w14:paraId="5CAA8D7D">
      <w:pPr>
        <w:adjustRightInd w:val="0"/>
        <w:snapToGrid w:val="0"/>
        <w:spacing w:line="560" w:lineRule="exact"/>
        <w:ind w:firstLine="720" w:firstLineChars="300"/>
        <w:jc w:val="left"/>
        <w:rPr>
          <w:rFonts w:ascii="仿宋_GB2312" w:hAnsi="仿宋_GB2312" w:cs="仿宋_GB2312"/>
          <w:bCs/>
          <w:sz w:val="24"/>
        </w:rPr>
      </w:pPr>
      <w:r>
        <w:rPr>
          <w:rFonts w:hint="eastAsia" w:ascii="仿宋_GB2312" w:hAnsi="仿宋_GB2312" w:cs="仿宋_GB2312"/>
          <w:bCs/>
          <w:sz w:val="24"/>
        </w:rPr>
        <w:t>注：其他单体建筑请按上述表格依次填写。</w:t>
      </w:r>
    </w:p>
    <w:p w14:paraId="0316F66B">
      <w:pPr>
        <w:adjustRightInd w:val="0"/>
        <w:snapToGrid w:val="0"/>
        <w:spacing w:line="560" w:lineRule="exact"/>
        <w:jc w:val="left"/>
        <w:rPr>
          <w:rFonts w:ascii="仿宋_GB2312" w:hAnsi="仿宋_GB2312" w:cs="仿宋_GB2312"/>
          <w:bCs/>
          <w:sz w:val="28"/>
          <w:szCs w:val="28"/>
        </w:rPr>
      </w:pPr>
    </w:p>
    <w:p w14:paraId="3C4F686B">
      <w:pPr>
        <w:keepNext/>
        <w:keepLines/>
        <w:adjustRightInd w:val="0"/>
        <w:snapToGrid w:val="0"/>
        <w:spacing w:line="560" w:lineRule="exact"/>
        <w:ind w:firstLine="562" w:firstLineChars="200"/>
        <w:jc w:val="left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 w:val="28"/>
          <w:szCs w:val="28"/>
        </w:rPr>
        <w:t>（三）</w:t>
      </w:r>
      <w:r>
        <w:rPr>
          <w:rFonts w:hint="eastAsia" w:ascii="仿宋_GB2312" w:hAnsi="仿宋_GB2312" w:cs="仿宋_GB2312"/>
          <w:b/>
          <w:bCs/>
          <w:sz w:val="28"/>
          <w:szCs w:val="28"/>
          <w:u w:val="single"/>
        </w:rPr>
        <w:t xml:space="preserve">      号楼 </w:t>
      </w:r>
      <w:r>
        <w:rPr>
          <w:rFonts w:hint="eastAsia" w:ascii="仿宋_GB2312" w:hAnsi="仿宋_GB2312" w:cs="仿宋_GB2312"/>
          <w:b/>
          <w:bCs/>
          <w:sz w:val="28"/>
          <w:szCs w:val="28"/>
        </w:rPr>
        <w:t>装配率计算</w:t>
      </w:r>
    </w:p>
    <w:p w14:paraId="7BF5CA7D">
      <w:pPr>
        <w:adjustRightInd w:val="0"/>
        <w:snapToGrid w:val="0"/>
        <w:spacing w:line="560" w:lineRule="exact"/>
        <w:jc w:val="left"/>
        <w:rPr>
          <w:rFonts w:ascii="仿宋_GB2312" w:hAnsi="仿宋_GB2312" w:cs="仿宋_GB2312"/>
          <w:bCs/>
          <w:sz w:val="28"/>
          <w:szCs w:val="28"/>
        </w:rPr>
      </w:pPr>
    </w:p>
    <w:p w14:paraId="343BA0BE">
      <w:pPr>
        <w:keepNext/>
        <w:keepLines/>
        <w:adjustRightInd w:val="0"/>
        <w:snapToGrid w:val="0"/>
        <w:spacing w:line="560" w:lineRule="exact"/>
        <w:ind w:firstLine="562" w:firstLineChars="200"/>
        <w:jc w:val="left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 w:val="28"/>
          <w:szCs w:val="28"/>
        </w:rPr>
        <w:t>（四）</w:t>
      </w:r>
      <w:r>
        <w:rPr>
          <w:rFonts w:hint="eastAsia" w:ascii="仿宋_GB2312" w:hAnsi="仿宋_GB2312" w:cs="仿宋_GB2312"/>
          <w:b/>
          <w:bCs/>
          <w:sz w:val="28"/>
          <w:szCs w:val="28"/>
          <w:u w:val="single"/>
        </w:rPr>
        <w:t xml:space="preserve">      号楼 </w:t>
      </w:r>
      <w:r>
        <w:rPr>
          <w:rFonts w:hint="eastAsia" w:ascii="仿宋_GB2312" w:hAnsi="仿宋_GB2312" w:cs="仿宋_GB2312"/>
          <w:b/>
          <w:bCs/>
          <w:sz w:val="28"/>
          <w:szCs w:val="28"/>
        </w:rPr>
        <w:t>装配率计算</w:t>
      </w:r>
    </w:p>
    <w:p w14:paraId="13150731">
      <w:pPr>
        <w:adjustRightInd w:val="0"/>
        <w:snapToGrid w:val="0"/>
        <w:spacing w:line="560" w:lineRule="exact"/>
        <w:jc w:val="left"/>
        <w:rPr>
          <w:rFonts w:ascii="仿宋_GB2312" w:hAnsi="仿宋_GB2312" w:cs="仿宋_GB2312"/>
          <w:b/>
          <w:sz w:val="28"/>
          <w:szCs w:val="28"/>
        </w:rPr>
      </w:pPr>
    </w:p>
    <w:p w14:paraId="1ED3EF96">
      <w:pPr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四、结论</w:t>
      </w:r>
    </w:p>
    <w:p w14:paraId="4097BDD6">
      <w:pPr>
        <w:wordWrap w:val="0"/>
        <w:adjustRightInd w:val="0"/>
        <w:snapToGrid w:val="0"/>
        <w:spacing w:line="560" w:lineRule="exact"/>
        <w:ind w:firstLine="560" w:firstLineChars="200"/>
        <w:rPr>
          <w:rFonts w:ascii="仿宋_GB2312" w:hAnsi="仿宋_GB2312" w:cs="仿宋_GB2312"/>
          <w:b/>
          <w:sz w:val="28"/>
          <w:szCs w:val="28"/>
          <w:u w:val="single"/>
        </w:rPr>
      </w:pPr>
      <w:r>
        <w:rPr>
          <w:rFonts w:hint="eastAsia" w:ascii="仿宋_GB2312" w:hAnsi="仿宋_GB2312" w:cs="仿宋_GB2312"/>
          <w:sz w:val="28"/>
          <w:szCs w:val="28"/>
        </w:rPr>
        <w:t>经计算，本项目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</w:t>
      </w:r>
      <w:r>
        <w:rPr>
          <w:rFonts w:ascii="仿宋_GB2312" w:hAnsi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cs="仿宋_GB2312"/>
          <w:sz w:val="28"/>
          <w:szCs w:val="28"/>
        </w:rPr>
        <w:t>（项目名）</w:t>
      </w:r>
      <w:bookmarkStart w:id="0" w:name="OLE_LINK11"/>
      <w:r>
        <w:rPr>
          <w:rFonts w:hint="eastAsia" w:ascii="仿宋_GB2312" w:hAnsi="仿宋_GB2312" w:cs="仿宋_GB2312"/>
          <w:sz w:val="28"/>
          <w:szCs w:val="28"/>
        </w:rPr>
        <w:t>建筑符合装配式建筑评价要求，</w:t>
      </w:r>
      <w:bookmarkEnd w:id="0"/>
      <w:r>
        <w:rPr>
          <w:rFonts w:hint="eastAsia" w:ascii="仿宋_GB2312" w:hAnsi="仿宋_GB2312" w:cs="仿宋_GB2312"/>
          <w:sz w:val="28"/>
          <w:szCs w:val="28"/>
        </w:rPr>
        <w:t>详见下表：</w:t>
      </w:r>
    </w:p>
    <w:p w14:paraId="7D77F37B">
      <w:pPr>
        <w:adjustRightInd w:val="0"/>
        <w:snapToGrid w:val="0"/>
        <w:spacing w:line="560" w:lineRule="exact"/>
        <w:ind w:firstLine="562" w:firstLineChars="200"/>
        <w:jc w:val="center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ascii="仿宋_GB2312" w:hAnsi="仿宋_GB2312" w:cs="仿宋_GB2312"/>
          <w:b/>
          <w:sz w:val="28"/>
          <w:szCs w:val="28"/>
          <w:u w:val="single"/>
        </w:rPr>
        <w:t xml:space="preserve">    </w:t>
      </w:r>
      <w:r>
        <w:rPr>
          <w:rFonts w:ascii="仿宋_GB2312" w:hAnsi="仿宋_GB2312" w:cs="仿宋_GB2312"/>
          <w:b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cs="仿宋_GB2312"/>
          <w:b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cs="仿宋_GB2312"/>
          <w:b/>
          <w:sz w:val="28"/>
          <w:szCs w:val="28"/>
        </w:rPr>
        <w:t>项目建筑单体装配率信息表</w:t>
      </w:r>
    </w:p>
    <w:tbl>
      <w:tblPr>
        <w:tblStyle w:val="2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1625"/>
        <w:gridCol w:w="1418"/>
        <w:gridCol w:w="1842"/>
        <w:gridCol w:w="1989"/>
      </w:tblGrid>
      <w:tr w14:paraId="2D017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52" w:type="dxa"/>
            <w:vAlign w:val="center"/>
          </w:tcPr>
          <w:p w14:paraId="3CDFD852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单体建筑名称</w:t>
            </w:r>
          </w:p>
        </w:tc>
        <w:tc>
          <w:tcPr>
            <w:tcW w:w="1625" w:type="dxa"/>
            <w:vAlign w:val="center"/>
          </w:tcPr>
          <w:p w14:paraId="460B94C5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计容建筑</w:t>
            </w:r>
          </w:p>
          <w:p w14:paraId="16AA4BF1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面积</w:t>
            </w:r>
          </w:p>
        </w:tc>
        <w:tc>
          <w:tcPr>
            <w:tcW w:w="1418" w:type="dxa"/>
            <w:vAlign w:val="center"/>
          </w:tcPr>
          <w:p w14:paraId="28ACB5D9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层数</w:t>
            </w:r>
          </w:p>
          <w:p w14:paraId="139BA4F0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（地上）</w:t>
            </w:r>
          </w:p>
        </w:tc>
        <w:tc>
          <w:tcPr>
            <w:tcW w:w="1842" w:type="dxa"/>
            <w:vAlign w:val="center"/>
          </w:tcPr>
          <w:p w14:paraId="697B33BB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装配率</w:t>
            </w:r>
          </w:p>
        </w:tc>
        <w:tc>
          <w:tcPr>
            <w:tcW w:w="1989" w:type="dxa"/>
            <w:vAlign w:val="center"/>
          </w:tcPr>
          <w:p w14:paraId="50C86C9E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评价</w:t>
            </w:r>
          </w:p>
          <w:p w14:paraId="246ED508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等级</w:t>
            </w:r>
          </w:p>
        </w:tc>
      </w:tr>
      <w:tr w14:paraId="52404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052" w:type="dxa"/>
            <w:vAlign w:val="center"/>
          </w:tcPr>
          <w:p w14:paraId="0408CCA2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212C057C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C620D6C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7D764CA4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89" w:type="dxa"/>
            <w:vAlign w:val="center"/>
          </w:tcPr>
          <w:p w14:paraId="103CA1B8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06459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052" w:type="dxa"/>
            <w:vAlign w:val="center"/>
          </w:tcPr>
          <w:p w14:paraId="32CC6E5F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5A324E6E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AE26418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5FC6BC9D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89" w:type="dxa"/>
            <w:vAlign w:val="center"/>
          </w:tcPr>
          <w:p w14:paraId="06141A95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6E0F4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52" w:type="dxa"/>
            <w:vAlign w:val="center"/>
          </w:tcPr>
          <w:p w14:paraId="18994573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79DFB8E0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77B062A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0A6EF4BB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89" w:type="dxa"/>
            <w:vAlign w:val="center"/>
          </w:tcPr>
          <w:p w14:paraId="1434751C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46546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52" w:type="dxa"/>
            <w:vAlign w:val="center"/>
          </w:tcPr>
          <w:p w14:paraId="089852F7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2F81EFC9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61A5A65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63B1DDF8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89" w:type="dxa"/>
            <w:vAlign w:val="center"/>
          </w:tcPr>
          <w:p w14:paraId="35EDA179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</w:tbl>
    <w:p w14:paraId="35D3B54D"/>
    <w:sectPr>
      <w:footerReference r:id="rId7" w:type="first"/>
      <w:footerReference r:id="rId5" w:type="default"/>
      <w:footerReference r:id="rId6" w:type="even"/>
      <w:pgSz w:w="11906" w:h="16838"/>
      <w:pgMar w:top="2098" w:right="1474" w:bottom="1985" w:left="1588" w:header="851" w:footer="1418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Sim su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BE79F">
    <w:pPr>
      <w:pStyle w:val="1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0BA3E">
    <w:pPr>
      <w:pStyle w:val="19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18415" b="190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E62EDB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PlfknQAAAAAwEAAA8AAAAAAAAAAQAgAAAAIgAAAGRycy9k&#10;b3ducmV2LnhtbFBLAQIUABQAAAAIAIdO4kAuT9QsCgIAAAIEAAAOAAAAAAAAAAEAIAAAAB8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E62EDB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29293">
    <w:pPr>
      <w:pStyle w:val="1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18415" b="17145"/>
              <wp:wrapNone/>
              <wp:docPr id="1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BCF890">
                          <w:pPr>
                            <w:pStyle w:val="19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D2TH3RAAAAAwEAAA8AAAAAAAAAAQAgAAAAIgAAAGRycy9kb3du&#10;cmV2LnhtbFBLAQIUABQAAAAIAIdO4kBd8U+5zQEAAJgDAAAOAAAAAAAAAAEAIAAAACA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BCF890">
                    <w:pPr>
                      <w:pStyle w:val="19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BA844">
    <w:pPr>
      <w:pStyle w:val="1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18415" b="508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85B0843">
                          <w:pPr>
                            <w:pStyle w:val="1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BbkuwCxgEAAJ0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5B0843">
                    <w:pPr>
                      <w:pStyle w:val="19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40927">
    <w:pPr>
      <w:pStyle w:val="19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12065" b="17145"/>
              <wp:wrapNone/>
              <wp:docPr id="2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0A3C17">
                          <w:pPr>
                            <w:pStyle w:val="19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8.15pt;width:35.05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84hJ9EAAAADAQAADwAAAAAAAAABACAAAAAiAAAAZHJzL2Rv&#10;d25yZXYueG1sUEsBAhQAFAAAAAgAh07iQCTgAsjPAQAAlwMAAA4AAAAAAAAAAQAgAAAAI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0A3C17">
                    <w:pPr>
                      <w:pStyle w:val="19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4N2U0YjQ0M2I4OWQwNjYwYTg1YTkwYjFkNTI5MjAifQ=="/>
  </w:docVars>
  <w:rsids>
    <w:rsidRoot w:val="00274644"/>
    <w:rsid w:val="000305B3"/>
    <w:rsid w:val="00052651"/>
    <w:rsid w:val="00055737"/>
    <w:rsid w:val="00084634"/>
    <w:rsid w:val="000A74CB"/>
    <w:rsid w:val="0010358B"/>
    <w:rsid w:val="00133721"/>
    <w:rsid w:val="00172067"/>
    <w:rsid w:val="00180A3B"/>
    <w:rsid w:val="001B44A5"/>
    <w:rsid w:val="001D40D2"/>
    <w:rsid w:val="00206820"/>
    <w:rsid w:val="00213515"/>
    <w:rsid w:val="00217D05"/>
    <w:rsid w:val="00231220"/>
    <w:rsid w:val="002417BD"/>
    <w:rsid w:val="0026516B"/>
    <w:rsid w:val="00274644"/>
    <w:rsid w:val="002C6BCF"/>
    <w:rsid w:val="00335DE8"/>
    <w:rsid w:val="00397B10"/>
    <w:rsid w:val="003A405F"/>
    <w:rsid w:val="003D440D"/>
    <w:rsid w:val="003E0B88"/>
    <w:rsid w:val="00452C76"/>
    <w:rsid w:val="004B6C46"/>
    <w:rsid w:val="004D392A"/>
    <w:rsid w:val="004F7E92"/>
    <w:rsid w:val="00503A1C"/>
    <w:rsid w:val="00576332"/>
    <w:rsid w:val="00580774"/>
    <w:rsid w:val="005A057C"/>
    <w:rsid w:val="005A69E7"/>
    <w:rsid w:val="005B7F46"/>
    <w:rsid w:val="005F6704"/>
    <w:rsid w:val="006325FC"/>
    <w:rsid w:val="00675168"/>
    <w:rsid w:val="006C16C9"/>
    <w:rsid w:val="007B5A53"/>
    <w:rsid w:val="007D708A"/>
    <w:rsid w:val="00802CA3"/>
    <w:rsid w:val="008135FB"/>
    <w:rsid w:val="00813653"/>
    <w:rsid w:val="00822E36"/>
    <w:rsid w:val="00850362"/>
    <w:rsid w:val="00853064"/>
    <w:rsid w:val="00865479"/>
    <w:rsid w:val="008D5DAD"/>
    <w:rsid w:val="008F738C"/>
    <w:rsid w:val="009075C0"/>
    <w:rsid w:val="009135E2"/>
    <w:rsid w:val="00987330"/>
    <w:rsid w:val="00995995"/>
    <w:rsid w:val="009C399B"/>
    <w:rsid w:val="009C5A52"/>
    <w:rsid w:val="009D22CE"/>
    <w:rsid w:val="009F22F5"/>
    <w:rsid w:val="00A35CF3"/>
    <w:rsid w:val="00A87783"/>
    <w:rsid w:val="00A94299"/>
    <w:rsid w:val="00AB77C0"/>
    <w:rsid w:val="00AD514D"/>
    <w:rsid w:val="00AF621A"/>
    <w:rsid w:val="00B062E4"/>
    <w:rsid w:val="00B0734D"/>
    <w:rsid w:val="00B14E00"/>
    <w:rsid w:val="00B51BBF"/>
    <w:rsid w:val="00B6255B"/>
    <w:rsid w:val="00B77FC6"/>
    <w:rsid w:val="00BA09B9"/>
    <w:rsid w:val="00C00B79"/>
    <w:rsid w:val="00C13A8A"/>
    <w:rsid w:val="00C40797"/>
    <w:rsid w:val="00CC03E1"/>
    <w:rsid w:val="00CE43D7"/>
    <w:rsid w:val="00D135CD"/>
    <w:rsid w:val="00D42936"/>
    <w:rsid w:val="00D5382A"/>
    <w:rsid w:val="00D66E32"/>
    <w:rsid w:val="00DE09BF"/>
    <w:rsid w:val="00DF6ADD"/>
    <w:rsid w:val="00E74DCE"/>
    <w:rsid w:val="00EC45A3"/>
    <w:rsid w:val="00EE4F99"/>
    <w:rsid w:val="00EF38BE"/>
    <w:rsid w:val="00F47D8F"/>
    <w:rsid w:val="00F81FC7"/>
    <w:rsid w:val="00F8772D"/>
    <w:rsid w:val="00F9622E"/>
    <w:rsid w:val="00FE2D21"/>
    <w:rsid w:val="014A24D0"/>
    <w:rsid w:val="016C195A"/>
    <w:rsid w:val="022267B7"/>
    <w:rsid w:val="0439718F"/>
    <w:rsid w:val="0BFF5A10"/>
    <w:rsid w:val="0CA973EE"/>
    <w:rsid w:val="0DE4745F"/>
    <w:rsid w:val="10AD5324"/>
    <w:rsid w:val="11E22A37"/>
    <w:rsid w:val="123366C6"/>
    <w:rsid w:val="195B32BB"/>
    <w:rsid w:val="26FF4187"/>
    <w:rsid w:val="27141DEC"/>
    <w:rsid w:val="28436D6C"/>
    <w:rsid w:val="2A3A4C8A"/>
    <w:rsid w:val="2E910ED4"/>
    <w:rsid w:val="308B0E17"/>
    <w:rsid w:val="37BE7C72"/>
    <w:rsid w:val="3BE74D4E"/>
    <w:rsid w:val="4B3F7B6D"/>
    <w:rsid w:val="50AA798A"/>
    <w:rsid w:val="51E97071"/>
    <w:rsid w:val="5B3F3CF5"/>
    <w:rsid w:val="5F83370F"/>
    <w:rsid w:val="60E23E2F"/>
    <w:rsid w:val="64C24BD3"/>
    <w:rsid w:val="681673C7"/>
    <w:rsid w:val="689911C7"/>
    <w:rsid w:val="6E46675F"/>
    <w:rsid w:val="6E6E0436"/>
    <w:rsid w:val="7BFF081D"/>
    <w:rsid w:val="7F141F72"/>
    <w:rsid w:val="FEF7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99" w:semiHidden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1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35"/>
    <w:qFormat/>
    <w:uiPriority w:val="9"/>
    <w:pPr>
      <w:keepNext/>
      <w:keepLines/>
      <w:widowControl/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paragraph" w:styleId="4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36"/>
    <w:qFormat/>
    <w:uiPriority w:val="0"/>
    <w:pPr>
      <w:keepNext/>
      <w:keepLines/>
      <w:widowControl/>
      <w:adjustRightInd w:val="0"/>
      <w:spacing w:before="260" w:after="260" w:line="416" w:lineRule="atLeast"/>
      <w:textAlignment w:val="baseline"/>
      <w:outlineLvl w:val="2"/>
    </w:pPr>
    <w:rPr>
      <w:b/>
      <w:kern w:val="0"/>
      <w:szCs w:val="20"/>
    </w:rPr>
  </w:style>
  <w:style w:type="paragraph" w:styleId="6">
    <w:name w:val="heading 4"/>
    <w:basedOn w:val="1"/>
    <w:next w:val="1"/>
    <w:link w:val="37"/>
    <w:qFormat/>
    <w:uiPriority w:val="0"/>
    <w:pPr>
      <w:keepNext/>
      <w:keepLines/>
      <w:widowControl/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7">
    <w:name w:val="heading 5"/>
    <w:basedOn w:val="1"/>
    <w:next w:val="1"/>
    <w:link w:val="38"/>
    <w:qFormat/>
    <w:uiPriority w:val="0"/>
    <w:pPr>
      <w:keepNext/>
      <w:keepLines/>
      <w:widowControl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8">
    <w:name w:val="heading 6"/>
    <w:basedOn w:val="1"/>
    <w:next w:val="1"/>
    <w:link w:val="39"/>
    <w:qFormat/>
    <w:uiPriority w:val="0"/>
    <w:pPr>
      <w:keepNext/>
      <w:keepLines/>
      <w:widowControl/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9">
    <w:name w:val="heading 7"/>
    <w:basedOn w:val="1"/>
    <w:next w:val="1"/>
    <w:link w:val="40"/>
    <w:qFormat/>
    <w:uiPriority w:val="0"/>
    <w:pPr>
      <w:keepNext/>
      <w:keepLines/>
      <w:widowControl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10">
    <w:name w:val="heading 8"/>
    <w:basedOn w:val="1"/>
    <w:next w:val="1"/>
    <w:link w:val="41"/>
    <w:qFormat/>
    <w:uiPriority w:val="0"/>
    <w:pPr>
      <w:keepNext/>
      <w:keepLines/>
      <w:widowControl/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1">
    <w:name w:val="heading 9"/>
    <w:basedOn w:val="1"/>
    <w:next w:val="1"/>
    <w:link w:val="42"/>
    <w:qFormat/>
    <w:uiPriority w:val="0"/>
    <w:pPr>
      <w:keepNext/>
      <w:keepLines/>
      <w:widowControl/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 w:val="21"/>
      <w:szCs w:val="20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spacing w:after="120" w:line="480" w:lineRule="auto"/>
      <w:ind w:left="420" w:leftChars="200"/>
    </w:pPr>
  </w:style>
  <w:style w:type="paragraph" w:styleId="12">
    <w:name w:val="Normal Indent"/>
    <w:basedOn w:val="1"/>
    <w:qFormat/>
    <w:uiPriority w:val="0"/>
    <w:pPr>
      <w:ind w:firstLine="420" w:firstLineChars="200"/>
    </w:pPr>
  </w:style>
  <w:style w:type="paragraph" w:styleId="13">
    <w:name w:val="Document Map"/>
    <w:basedOn w:val="1"/>
    <w:link w:val="43"/>
    <w:qFormat/>
    <w:uiPriority w:val="0"/>
    <w:rPr>
      <w:rFonts w:ascii="宋体" w:eastAsia="宋体"/>
      <w:sz w:val="18"/>
      <w:szCs w:val="18"/>
    </w:rPr>
  </w:style>
  <w:style w:type="paragraph" w:styleId="14">
    <w:name w:val="annotation text"/>
    <w:basedOn w:val="1"/>
    <w:link w:val="63"/>
    <w:qFormat/>
    <w:uiPriority w:val="99"/>
    <w:pPr>
      <w:jc w:val="left"/>
    </w:pPr>
  </w:style>
  <w:style w:type="paragraph" w:styleId="15">
    <w:name w:val="Body Text"/>
    <w:basedOn w:val="1"/>
    <w:link w:val="34"/>
    <w:unhideWhenUsed/>
    <w:qFormat/>
    <w:uiPriority w:val="1"/>
    <w:pPr>
      <w:spacing w:after="120"/>
    </w:pPr>
  </w:style>
  <w:style w:type="paragraph" w:styleId="16">
    <w:name w:val="Body Text Indent"/>
    <w:basedOn w:val="1"/>
    <w:link w:val="44"/>
    <w:qFormat/>
    <w:uiPriority w:val="0"/>
    <w:pPr>
      <w:topLinePunct/>
      <w:autoSpaceDE w:val="0"/>
      <w:autoSpaceDN w:val="0"/>
      <w:spacing w:line="540" w:lineRule="atLeast"/>
      <w:ind w:firstLine="600"/>
    </w:pPr>
    <w:rPr>
      <w:rFonts w:ascii="华康简标题宋"/>
      <w:sz w:val="30"/>
    </w:rPr>
  </w:style>
  <w:style w:type="paragraph" w:styleId="17">
    <w:name w:val="Date"/>
    <w:basedOn w:val="1"/>
    <w:next w:val="1"/>
    <w:link w:val="45"/>
    <w:qFormat/>
    <w:uiPriority w:val="0"/>
    <w:pPr>
      <w:ind w:left="100" w:leftChars="2500"/>
    </w:pPr>
  </w:style>
  <w:style w:type="paragraph" w:styleId="18">
    <w:name w:val="Balloon Text"/>
    <w:basedOn w:val="1"/>
    <w:link w:val="33"/>
    <w:qFormat/>
    <w:uiPriority w:val="99"/>
    <w:rPr>
      <w:sz w:val="18"/>
      <w:szCs w:val="18"/>
    </w:rPr>
  </w:style>
  <w:style w:type="paragraph" w:styleId="19">
    <w:name w:val="footer"/>
    <w:basedOn w:val="1"/>
    <w:link w:val="5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unhideWhenUsed/>
    <w:qFormat/>
    <w:uiPriority w:val="39"/>
    <w:rPr>
      <w:rFonts w:eastAsia="宋体"/>
      <w:sz w:val="21"/>
      <w:szCs w:val="22"/>
    </w:rPr>
  </w:style>
  <w:style w:type="paragraph" w:styleId="22">
    <w:name w:val="Body Text 2"/>
    <w:basedOn w:val="1"/>
    <w:link w:val="46"/>
    <w:qFormat/>
    <w:uiPriority w:val="0"/>
    <w:pPr>
      <w:widowControl/>
      <w:jc w:val="center"/>
    </w:pPr>
    <w:rPr>
      <w:rFonts w:eastAsia="华康简标题宋"/>
      <w:color w:val="FF0000"/>
      <w:sz w:val="42"/>
      <w:szCs w:val="23"/>
    </w:rPr>
  </w:style>
  <w:style w:type="paragraph" w:styleId="2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24">
    <w:name w:val="Title"/>
    <w:basedOn w:val="1"/>
    <w:link w:val="47"/>
    <w:qFormat/>
    <w:uiPriority w:val="0"/>
    <w:pPr>
      <w:spacing w:before="240" w:after="60"/>
      <w:jc w:val="center"/>
      <w:outlineLvl w:val="0"/>
    </w:pPr>
    <w:rPr>
      <w:rFonts w:eastAsia="华康简标题宋" w:cs="Arial"/>
      <w:bCs/>
      <w:sz w:val="44"/>
      <w:szCs w:val="32"/>
    </w:rPr>
  </w:style>
  <w:style w:type="paragraph" w:styleId="25">
    <w:name w:val="annotation subject"/>
    <w:basedOn w:val="14"/>
    <w:next w:val="14"/>
    <w:link w:val="64"/>
    <w:semiHidden/>
    <w:unhideWhenUsed/>
    <w:qFormat/>
    <w:uiPriority w:val="99"/>
    <w:rPr>
      <w:rFonts w:eastAsia="宋体"/>
      <w:b/>
      <w:bCs/>
      <w:sz w:val="21"/>
      <w:szCs w:val="22"/>
      <w:lang w:val="zh-CN"/>
    </w:rPr>
  </w:style>
  <w:style w:type="table" w:styleId="27">
    <w:name w:val="Table Grid"/>
    <w:basedOn w:val="2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qFormat/>
    <w:uiPriority w:val="22"/>
    <w:rPr>
      <w:b/>
      <w:bCs/>
    </w:rPr>
  </w:style>
  <w:style w:type="character" w:styleId="30">
    <w:name w:val="page number"/>
    <w:qFormat/>
    <w:uiPriority w:val="99"/>
    <w:rPr>
      <w:rFonts w:ascii="Times New Roman" w:hAnsi="Times New Roman" w:eastAsia="仿宋_GB2312"/>
      <w:sz w:val="28"/>
      <w:lang w:eastAsia="zh-CN"/>
    </w:rPr>
  </w:style>
  <w:style w:type="character" w:styleId="31">
    <w:name w:val="Hyperlink"/>
    <w:qFormat/>
    <w:uiPriority w:val="0"/>
    <w:rPr>
      <w:color w:val="0000FF"/>
      <w:u w:val="single"/>
    </w:rPr>
  </w:style>
  <w:style w:type="character" w:styleId="32">
    <w:name w:val="annotation reference"/>
    <w:basedOn w:val="28"/>
    <w:qFormat/>
    <w:uiPriority w:val="99"/>
    <w:rPr>
      <w:sz w:val="21"/>
      <w:szCs w:val="21"/>
    </w:rPr>
  </w:style>
  <w:style w:type="character" w:customStyle="1" w:styleId="33">
    <w:name w:val="批注框文本 Char"/>
    <w:basedOn w:val="28"/>
    <w:link w:val="18"/>
    <w:qFormat/>
    <w:uiPriority w:val="99"/>
    <w:rPr>
      <w:rFonts w:eastAsia="仿宋_GB2312"/>
      <w:kern w:val="2"/>
      <w:sz w:val="18"/>
      <w:szCs w:val="18"/>
    </w:rPr>
  </w:style>
  <w:style w:type="character" w:customStyle="1" w:styleId="34">
    <w:name w:val="正文文本 Char"/>
    <w:basedOn w:val="28"/>
    <w:link w:val="15"/>
    <w:qFormat/>
    <w:uiPriority w:val="1"/>
    <w:rPr>
      <w:rFonts w:eastAsia="仿宋_GB2312"/>
      <w:kern w:val="2"/>
      <w:sz w:val="32"/>
      <w:szCs w:val="24"/>
    </w:rPr>
  </w:style>
  <w:style w:type="character" w:customStyle="1" w:styleId="35">
    <w:name w:val="标题 1 Char"/>
    <w:basedOn w:val="28"/>
    <w:link w:val="3"/>
    <w:qFormat/>
    <w:uiPriority w:val="9"/>
    <w:rPr>
      <w:rFonts w:eastAsia="华康简标题宋"/>
      <w:kern w:val="44"/>
      <w:sz w:val="36"/>
    </w:rPr>
  </w:style>
  <w:style w:type="character" w:customStyle="1" w:styleId="36">
    <w:name w:val="标题 3 Char"/>
    <w:basedOn w:val="28"/>
    <w:link w:val="5"/>
    <w:qFormat/>
    <w:uiPriority w:val="0"/>
    <w:rPr>
      <w:rFonts w:eastAsia="仿宋_GB2312"/>
      <w:b/>
      <w:sz w:val="32"/>
    </w:rPr>
  </w:style>
  <w:style w:type="character" w:customStyle="1" w:styleId="37">
    <w:name w:val="标题 4 Char"/>
    <w:basedOn w:val="28"/>
    <w:link w:val="6"/>
    <w:qFormat/>
    <w:uiPriority w:val="0"/>
    <w:rPr>
      <w:rFonts w:ascii="Arial" w:hAnsi="Arial" w:eastAsia="黑体"/>
      <w:b/>
      <w:sz w:val="28"/>
    </w:rPr>
  </w:style>
  <w:style w:type="character" w:customStyle="1" w:styleId="38">
    <w:name w:val="标题 5 Char"/>
    <w:basedOn w:val="28"/>
    <w:link w:val="7"/>
    <w:qFormat/>
    <w:uiPriority w:val="0"/>
    <w:rPr>
      <w:rFonts w:eastAsia="仿宋_GB2312"/>
      <w:b/>
      <w:sz w:val="28"/>
    </w:rPr>
  </w:style>
  <w:style w:type="character" w:customStyle="1" w:styleId="39">
    <w:name w:val="标题 6 Char"/>
    <w:basedOn w:val="28"/>
    <w:link w:val="8"/>
    <w:qFormat/>
    <w:uiPriority w:val="0"/>
    <w:rPr>
      <w:rFonts w:ascii="Arial" w:hAnsi="Arial" w:eastAsia="黑体"/>
      <w:b/>
      <w:sz w:val="24"/>
    </w:rPr>
  </w:style>
  <w:style w:type="character" w:customStyle="1" w:styleId="40">
    <w:name w:val="标题 7 Char"/>
    <w:basedOn w:val="28"/>
    <w:link w:val="9"/>
    <w:qFormat/>
    <w:uiPriority w:val="0"/>
    <w:rPr>
      <w:rFonts w:eastAsia="仿宋_GB2312"/>
      <w:b/>
      <w:sz w:val="24"/>
    </w:rPr>
  </w:style>
  <w:style w:type="character" w:customStyle="1" w:styleId="41">
    <w:name w:val="标题 8 Char"/>
    <w:basedOn w:val="28"/>
    <w:link w:val="10"/>
    <w:qFormat/>
    <w:uiPriority w:val="0"/>
    <w:rPr>
      <w:rFonts w:ascii="Arial" w:hAnsi="Arial" w:eastAsia="黑体"/>
      <w:sz w:val="24"/>
    </w:rPr>
  </w:style>
  <w:style w:type="character" w:customStyle="1" w:styleId="42">
    <w:name w:val="标题 9 Char"/>
    <w:basedOn w:val="28"/>
    <w:link w:val="11"/>
    <w:qFormat/>
    <w:uiPriority w:val="0"/>
    <w:rPr>
      <w:rFonts w:ascii="Arial" w:hAnsi="Arial" w:eastAsia="黑体"/>
      <w:sz w:val="21"/>
    </w:rPr>
  </w:style>
  <w:style w:type="character" w:customStyle="1" w:styleId="43">
    <w:name w:val="文档结构图 Char"/>
    <w:basedOn w:val="28"/>
    <w:link w:val="13"/>
    <w:qFormat/>
    <w:uiPriority w:val="0"/>
    <w:rPr>
      <w:rFonts w:ascii="宋体"/>
      <w:kern w:val="2"/>
      <w:sz w:val="18"/>
      <w:szCs w:val="18"/>
    </w:rPr>
  </w:style>
  <w:style w:type="character" w:customStyle="1" w:styleId="44">
    <w:name w:val="正文文本缩进 Char"/>
    <w:basedOn w:val="28"/>
    <w:link w:val="16"/>
    <w:qFormat/>
    <w:uiPriority w:val="0"/>
    <w:rPr>
      <w:rFonts w:ascii="华康简标题宋" w:eastAsia="仿宋_GB2312"/>
      <w:kern w:val="2"/>
      <w:sz w:val="30"/>
      <w:szCs w:val="24"/>
    </w:rPr>
  </w:style>
  <w:style w:type="character" w:customStyle="1" w:styleId="45">
    <w:name w:val="日期 Char"/>
    <w:basedOn w:val="28"/>
    <w:link w:val="17"/>
    <w:qFormat/>
    <w:uiPriority w:val="0"/>
    <w:rPr>
      <w:rFonts w:eastAsia="仿宋_GB2312"/>
      <w:kern w:val="2"/>
      <w:sz w:val="32"/>
      <w:szCs w:val="24"/>
    </w:rPr>
  </w:style>
  <w:style w:type="character" w:customStyle="1" w:styleId="46">
    <w:name w:val="正文文本 2 Char"/>
    <w:basedOn w:val="28"/>
    <w:link w:val="22"/>
    <w:qFormat/>
    <w:uiPriority w:val="0"/>
    <w:rPr>
      <w:rFonts w:eastAsia="华康简标题宋"/>
      <w:color w:val="FF0000"/>
      <w:kern w:val="2"/>
      <w:sz w:val="42"/>
      <w:szCs w:val="23"/>
    </w:rPr>
  </w:style>
  <w:style w:type="character" w:customStyle="1" w:styleId="47">
    <w:name w:val="标题 Char"/>
    <w:basedOn w:val="28"/>
    <w:link w:val="24"/>
    <w:qFormat/>
    <w:uiPriority w:val="0"/>
    <w:rPr>
      <w:rFonts w:eastAsia="华康简标题宋" w:cs="Arial"/>
      <w:bCs/>
      <w:kern w:val="2"/>
      <w:sz w:val="44"/>
      <w:szCs w:val="32"/>
    </w:rPr>
  </w:style>
  <w:style w:type="paragraph" w:customStyle="1" w:styleId="48">
    <w:name w:val="Char1"/>
    <w:basedOn w:val="13"/>
    <w:qFormat/>
    <w:uiPriority w:val="0"/>
  </w:style>
  <w:style w:type="paragraph" w:customStyle="1" w:styleId="49">
    <w:name w:val="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50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1">
    <w:name w:val="BodyTextIndent2"/>
    <w:qFormat/>
    <w:uiPriority w:val="0"/>
    <w:pPr>
      <w:widowControl w:val="0"/>
      <w:spacing w:after="120" w:line="480" w:lineRule="auto"/>
      <w:ind w:left="420" w:left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2">
    <w:name w:val="List Paragraph"/>
    <w:basedOn w:val="1"/>
    <w:qFormat/>
    <w:uiPriority w:val="99"/>
    <w:pPr>
      <w:ind w:firstLine="420" w:firstLineChars="200"/>
    </w:pPr>
  </w:style>
  <w:style w:type="paragraph" w:customStyle="1" w:styleId="53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sz w:val="24"/>
      <w:szCs w:val="24"/>
      <w:lang w:val="en-US" w:eastAsia="zh-CN" w:bidi="ar-SA"/>
    </w:rPr>
  </w:style>
  <w:style w:type="character" w:customStyle="1" w:styleId="54">
    <w:name w:val="页眉 Char"/>
    <w:link w:val="20"/>
    <w:qFormat/>
    <w:uiPriority w:val="99"/>
    <w:rPr>
      <w:rFonts w:eastAsia="仿宋_GB2312"/>
      <w:kern w:val="2"/>
      <w:sz w:val="18"/>
      <w:szCs w:val="18"/>
    </w:rPr>
  </w:style>
  <w:style w:type="character" w:customStyle="1" w:styleId="55">
    <w:name w:val="正文文本 Char1"/>
    <w:qFormat/>
    <w:uiPriority w:val="1"/>
    <w:rPr>
      <w:rFonts w:eastAsia="仿宋_GB2312"/>
      <w:b/>
      <w:bCs/>
      <w:kern w:val="2"/>
      <w:sz w:val="32"/>
      <w:szCs w:val="24"/>
    </w:rPr>
  </w:style>
  <w:style w:type="character" w:customStyle="1" w:styleId="56">
    <w:name w:val="页脚 Char"/>
    <w:link w:val="19"/>
    <w:qFormat/>
    <w:uiPriority w:val="99"/>
    <w:rPr>
      <w:rFonts w:eastAsia="仿宋_GB2312"/>
      <w:kern w:val="2"/>
      <w:sz w:val="18"/>
      <w:szCs w:val="18"/>
    </w:rPr>
  </w:style>
  <w:style w:type="paragraph" w:customStyle="1" w:styleId="57">
    <w:name w:val="CM19"/>
    <w:basedOn w:val="53"/>
    <w:next w:val="53"/>
    <w:qFormat/>
    <w:uiPriority w:val="0"/>
    <w:pPr>
      <w:spacing w:after="70"/>
    </w:pPr>
    <w:rPr>
      <w:rFonts w:cs="Times New Roman"/>
      <w:color w:val="auto"/>
    </w:rPr>
  </w:style>
  <w:style w:type="paragraph" w:customStyle="1" w:styleId="58">
    <w:name w:val="Table Paragraph"/>
    <w:basedOn w:val="1"/>
    <w:qFormat/>
    <w:uiPriority w:val="1"/>
    <w:pPr>
      <w:jc w:val="left"/>
    </w:pPr>
    <w:rPr>
      <w:rFonts w:ascii="Calibri" w:hAnsi="Calibri" w:eastAsia="宋体"/>
      <w:kern w:val="0"/>
      <w:sz w:val="22"/>
      <w:szCs w:val="22"/>
      <w:lang w:eastAsia="en-US"/>
    </w:rPr>
  </w:style>
  <w:style w:type="paragraph" w:customStyle="1" w:styleId="59">
    <w:name w:val="列出段落1"/>
    <w:basedOn w:val="1"/>
    <w:qFormat/>
    <w:uiPriority w:val="34"/>
    <w:pPr>
      <w:ind w:firstLine="420" w:firstLineChars="200"/>
    </w:pPr>
    <w:rPr>
      <w:rFonts w:eastAsia="宋体"/>
      <w:sz w:val="21"/>
      <w:szCs w:val="22"/>
    </w:rPr>
  </w:style>
  <w:style w:type="paragraph" w:customStyle="1" w:styleId="60">
    <w:name w:val="TOC 标题1"/>
    <w:basedOn w:val="3"/>
    <w:next w:val="1"/>
    <w:unhideWhenUsed/>
    <w:qFormat/>
    <w:uiPriority w:val="39"/>
    <w:pPr>
      <w:adjustRightInd/>
      <w:spacing w:before="480" w:line="276" w:lineRule="auto"/>
      <w:jc w:val="left"/>
      <w:textAlignment w:val="auto"/>
      <w:outlineLvl w:val="9"/>
    </w:pPr>
    <w:rPr>
      <w:rFonts w:ascii="Cambria" w:hAnsi="Cambria" w:eastAsia="宋体"/>
      <w:b/>
      <w:bCs/>
      <w:color w:val="366091"/>
      <w:kern w:val="0"/>
      <w:sz w:val="28"/>
      <w:szCs w:val="28"/>
    </w:rPr>
  </w:style>
  <w:style w:type="table" w:customStyle="1" w:styleId="61">
    <w:name w:val="Table Normal"/>
    <w:unhideWhenUsed/>
    <w:qFormat/>
    <w:uiPriority w:val="2"/>
    <w:pPr>
      <w:widowControl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2">
    <w:name w:val="批注文字 Char"/>
    <w:semiHidden/>
    <w:qFormat/>
    <w:uiPriority w:val="99"/>
    <w:rPr>
      <w:kern w:val="2"/>
      <w:sz w:val="21"/>
      <w:szCs w:val="22"/>
      <w:lang w:val="zh-CN" w:eastAsia="zh-CN"/>
    </w:rPr>
  </w:style>
  <w:style w:type="character" w:customStyle="1" w:styleId="63">
    <w:name w:val="批注文字 Char1"/>
    <w:basedOn w:val="28"/>
    <w:link w:val="14"/>
    <w:qFormat/>
    <w:uiPriority w:val="99"/>
    <w:rPr>
      <w:rFonts w:eastAsia="仿宋_GB2312"/>
      <w:kern w:val="2"/>
      <w:sz w:val="32"/>
      <w:szCs w:val="24"/>
    </w:rPr>
  </w:style>
  <w:style w:type="character" w:customStyle="1" w:styleId="64">
    <w:name w:val="批注主题 Char"/>
    <w:basedOn w:val="63"/>
    <w:link w:val="25"/>
    <w:semiHidden/>
    <w:qFormat/>
    <w:uiPriority w:val="99"/>
    <w:rPr>
      <w:rFonts w:eastAsia="仿宋_GB2312"/>
      <w:b/>
      <w:bCs/>
      <w:kern w:val="2"/>
      <w:sz w:val="21"/>
      <w:szCs w:val="22"/>
      <w:lang w:val="zh-CN" w:eastAsia="zh-CN"/>
    </w:rPr>
  </w:style>
  <w:style w:type="character" w:customStyle="1" w:styleId="65">
    <w:name w:val="pointer"/>
    <w:basedOn w:val="28"/>
    <w:qFormat/>
    <w:uiPriority w:val="0"/>
  </w:style>
  <w:style w:type="character" w:customStyle="1" w:styleId="66">
    <w:name w:val="正文文本 字符"/>
    <w:qFormat/>
    <w:uiPriority w:val="1"/>
    <w:rPr>
      <w:rFonts w:ascii="宋体" w:hAnsi="宋体"/>
      <w:sz w:val="24"/>
      <w:szCs w:val="24"/>
      <w:lang w:eastAsia="en-US"/>
    </w:rPr>
  </w:style>
  <w:style w:type="character" w:customStyle="1" w:styleId="67">
    <w:name w:val="页脚 字符"/>
    <w:qFormat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540</Words>
  <Characters>3080</Characters>
  <Lines>25</Lines>
  <Paragraphs>7</Paragraphs>
  <TotalTime>1000</TotalTime>
  <ScaleCrop>false</ScaleCrop>
  <LinksUpToDate>false</LinksUpToDate>
  <CharactersWithSpaces>3613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2024-05-09T22:56:00Z</dcterms:created>
  <dc:creator>刘武军</dc:creator>
  <cp:lastModifiedBy>DZH</cp:lastModifiedBy>
  <cp:lastPrinted>2023-06-07T22:51:00Z</cp:lastPrinted>
  <dcterms:modified xsi:type="dcterms:W3CDTF">2025-04-15T09:33:54Z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6C2224FD0337411890EBC56EEA76184F_13</vt:lpwstr>
  </property>
</Properties>
</file>