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158DE">
      <w:pPr>
        <w:adjustRightInd w:val="0"/>
        <w:snapToGrid w:val="0"/>
        <w:spacing w:line="560" w:lineRule="exact"/>
        <w:jc w:val="left"/>
        <w:rPr>
          <w:rFonts w:hint="default" w:ascii="Times New Roman" w:hAnsi="Times New Roman" w:eastAsia="黑体" w:cs="Times New Roman"/>
          <w:snapToGrid w:val="0"/>
          <w:szCs w:val="32"/>
        </w:rPr>
      </w:pPr>
      <w:r>
        <w:rPr>
          <w:rFonts w:hint="default" w:ascii="Times New Roman" w:hAnsi="Times New Roman" w:eastAsia="黑体" w:cs="Times New Roman"/>
          <w:snapToGrid w:val="0"/>
          <w:szCs w:val="32"/>
        </w:rPr>
        <w:t>附件1</w:t>
      </w:r>
    </w:p>
    <w:p w14:paraId="7AB38FA3">
      <w:pPr>
        <w:pStyle w:val="2"/>
        <w:spacing w:line="360" w:lineRule="exact"/>
        <w:ind w:left="640"/>
      </w:pPr>
    </w:p>
    <w:p w14:paraId="6A1EDAAF">
      <w:pPr>
        <w:adjustRightInd w:val="0"/>
        <w:spacing w:line="600" w:lineRule="exact"/>
        <w:jc w:val="center"/>
        <w:rPr>
          <w:b/>
          <w:snapToGrid w:val="0"/>
          <w:sz w:val="44"/>
          <w:szCs w:val="44"/>
        </w:rPr>
      </w:pPr>
      <w:r>
        <w:rPr>
          <w:b/>
          <w:snapToGrid w:val="0"/>
          <w:sz w:val="44"/>
          <w:szCs w:val="44"/>
        </w:rPr>
        <w:t>东莞市装配式建筑装配率计算细则</w:t>
      </w:r>
      <w:r>
        <w:rPr>
          <w:rFonts w:hint="eastAsia"/>
          <w:b/>
          <w:snapToGrid w:val="0"/>
          <w:sz w:val="44"/>
          <w:szCs w:val="44"/>
          <w:lang w:eastAsia="zh-CN"/>
        </w:rPr>
        <w:t>一</w:t>
      </w:r>
    </w:p>
    <w:p w14:paraId="25EC71A0">
      <w:pPr>
        <w:adjustRightInd w:val="0"/>
        <w:snapToGrid w:val="0"/>
        <w:spacing w:line="600" w:lineRule="exact"/>
        <w:jc w:val="center"/>
        <w:rPr>
          <w:rFonts w:eastAsia="楷体"/>
          <w:snapToGrid w:val="0"/>
          <w:sz w:val="24"/>
        </w:rPr>
      </w:pPr>
      <w:r>
        <w:rPr>
          <w:rFonts w:eastAsia="楷体"/>
          <w:snapToGrid w:val="0"/>
          <w:sz w:val="24"/>
        </w:rPr>
        <w:t>以《装配式建筑评价标准》（GB</w:t>
      </w:r>
      <w:r>
        <w:rPr>
          <w:rFonts w:hint="eastAsia" w:eastAsia="楷体"/>
          <w:snapToGrid w:val="0"/>
          <w:sz w:val="24"/>
        </w:rPr>
        <w:t>/</w:t>
      </w:r>
      <w:r>
        <w:rPr>
          <w:rFonts w:eastAsia="楷体"/>
          <w:snapToGrid w:val="0"/>
          <w:sz w:val="24"/>
        </w:rPr>
        <w:t>T51129-2017）为依据编制</w:t>
      </w:r>
    </w:p>
    <w:p w14:paraId="496AF7B0">
      <w:pPr>
        <w:adjustRightInd w:val="0"/>
        <w:snapToGrid w:val="0"/>
        <w:spacing w:line="560" w:lineRule="exact"/>
        <w:ind w:firstLine="560" w:firstLineChars="200"/>
        <w:rPr>
          <w:sz w:val="28"/>
        </w:rPr>
      </w:pPr>
    </w:p>
    <w:p w14:paraId="6E18C39D">
      <w:pPr>
        <w:adjustRightInd w:val="0"/>
        <w:ind w:firstLine="600" w:firstLineChars="200"/>
        <w:rPr>
          <w:rFonts w:eastAsia="黑体"/>
          <w:sz w:val="30"/>
          <w:szCs w:val="30"/>
        </w:rPr>
      </w:pPr>
      <w:r>
        <w:rPr>
          <w:rFonts w:eastAsia="黑体"/>
          <w:sz w:val="30"/>
          <w:szCs w:val="30"/>
        </w:rPr>
        <w:t>一、基本要求</w:t>
      </w:r>
    </w:p>
    <w:p w14:paraId="57C60B29">
      <w:pPr>
        <w:adjustRightInd w:val="0"/>
        <w:ind w:firstLine="560" w:firstLineChars="200"/>
        <w:rPr>
          <w:bCs/>
          <w:sz w:val="28"/>
          <w:szCs w:val="28"/>
        </w:rPr>
      </w:pPr>
      <w:r>
        <w:rPr>
          <w:bCs/>
          <w:sz w:val="28"/>
          <w:szCs w:val="28"/>
        </w:rPr>
        <w:t>（一）本细则适用于采用《装配式建筑评价标准》（GB/T51129-2017）作为评价技术标准的装配式混凝土建筑项目，装配式钢结构、木结构等</w:t>
      </w:r>
      <w:r>
        <w:rPr>
          <w:rFonts w:hint="eastAsia"/>
          <w:bCs/>
          <w:sz w:val="28"/>
          <w:szCs w:val="28"/>
        </w:rPr>
        <w:t>其他</w:t>
      </w:r>
      <w:r>
        <w:rPr>
          <w:bCs/>
          <w:sz w:val="28"/>
          <w:szCs w:val="28"/>
        </w:rPr>
        <w:t>类型装配式建筑的装配率计算可参照本计算细则执行。</w:t>
      </w:r>
    </w:p>
    <w:p w14:paraId="2664E639">
      <w:pPr>
        <w:adjustRightInd w:val="0"/>
        <w:ind w:firstLine="560" w:firstLineChars="200"/>
        <w:rPr>
          <w:bCs/>
          <w:sz w:val="28"/>
          <w:szCs w:val="28"/>
        </w:rPr>
      </w:pPr>
      <w:r>
        <w:rPr>
          <w:bCs/>
          <w:sz w:val="28"/>
          <w:szCs w:val="28"/>
        </w:rPr>
        <w:t>（二）</w:t>
      </w:r>
      <w:r>
        <w:rPr>
          <w:rFonts w:hint="eastAsia"/>
          <w:bCs/>
          <w:sz w:val="28"/>
          <w:szCs w:val="28"/>
        </w:rPr>
        <w:t>装配率计算（装配式建筑等级评价）宜以单体建筑作为计算（评价）单元，单体建筑应按项目规划批准文件的建筑编号确认。</w:t>
      </w:r>
    </w:p>
    <w:p w14:paraId="7778018A">
      <w:pPr>
        <w:adjustRightInd w:val="0"/>
        <w:ind w:firstLine="560" w:firstLineChars="200"/>
        <w:rPr>
          <w:bCs/>
          <w:sz w:val="28"/>
          <w:szCs w:val="28"/>
        </w:rPr>
      </w:pPr>
      <w:r>
        <w:rPr>
          <w:bCs/>
          <w:sz w:val="28"/>
          <w:szCs w:val="28"/>
        </w:rPr>
        <w:t>（三）实施装配式建筑除结构首层架空层、屋面层</w:t>
      </w:r>
      <w:r>
        <w:rPr>
          <w:rFonts w:hint="eastAsia"/>
          <w:bCs/>
          <w:sz w:val="28"/>
          <w:szCs w:val="28"/>
        </w:rPr>
        <w:t>、</w:t>
      </w:r>
      <w:r>
        <w:rPr>
          <w:bCs/>
          <w:sz w:val="28"/>
          <w:szCs w:val="28"/>
        </w:rPr>
        <w:t>结构转换层、避难层、设备层</w:t>
      </w:r>
      <w:r>
        <w:rPr>
          <w:rFonts w:hint="eastAsia"/>
          <w:bCs/>
          <w:sz w:val="28"/>
          <w:szCs w:val="28"/>
        </w:rPr>
        <w:t>以及</w:t>
      </w:r>
      <w:r>
        <w:rPr>
          <w:bCs/>
          <w:sz w:val="28"/>
          <w:szCs w:val="28"/>
        </w:rPr>
        <w:t>住宅项目中的裙楼外，其余楼层应纳入实施范围。</w:t>
      </w:r>
    </w:p>
    <w:p w14:paraId="462D7E51">
      <w:pPr>
        <w:adjustRightInd w:val="0"/>
        <w:ind w:firstLine="560" w:firstLineChars="200"/>
        <w:rPr>
          <w:bCs/>
          <w:sz w:val="28"/>
          <w:szCs w:val="28"/>
        </w:rPr>
      </w:pPr>
      <w:r>
        <w:rPr>
          <w:bCs/>
          <w:sz w:val="28"/>
          <w:szCs w:val="28"/>
        </w:rPr>
        <w:t>（四）装配率计算书数据应与装配式专项设计文件图纸统计数据一致。装配式建筑设计说明专篇应</w:t>
      </w:r>
      <w:r>
        <w:rPr>
          <w:rFonts w:hint="eastAsia"/>
          <w:bCs/>
          <w:sz w:val="28"/>
          <w:szCs w:val="28"/>
        </w:rPr>
        <w:t>包含</w:t>
      </w:r>
      <w:r>
        <w:rPr>
          <w:bCs/>
          <w:sz w:val="28"/>
          <w:szCs w:val="28"/>
        </w:rPr>
        <w:t>装配率评分表</w:t>
      </w:r>
      <w:r>
        <w:rPr>
          <w:rFonts w:hint="eastAsia"/>
          <w:bCs/>
          <w:sz w:val="28"/>
          <w:szCs w:val="28"/>
          <w:u w:val="single"/>
        </w:rPr>
        <w:t>及</w:t>
      </w:r>
      <w:r>
        <w:rPr>
          <w:bCs/>
          <w:sz w:val="28"/>
          <w:szCs w:val="28"/>
        </w:rPr>
        <w:t>各得分项对应的技术</w:t>
      </w:r>
      <w:r>
        <w:rPr>
          <w:rFonts w:hint="eastAsia"/>
          <w:bCs/>
          <w:sz w:val="28"/>
          <w:szCs w:val="28"/>
        </w:rPr>
        <w:t>措施</w:t>
      </w:r>
      <w:r>
        <w:rPr>
          <w:bCs/>
          <w:sz w:val="28"/>
          <w:szCs w:val="28"/>
        </w:rPr>
        <w:t>。</w:t>
      </w:r>
    </w:p>
    <w:p w14:paraId="21A7C59B">
      <w:pPr>
        <w:adjustRightInd w:val="0"/>
        <w:ind w:firstLine="560" w:firstLineChars="200"/>
        <w:rPr>
          <w:bCs/>
          <w:sz w:val="28"/>
          <w:szCs w:val="28"/>
        </w:rPr>
      </w:pPr>
      <w:r>
        <w:rPr>
          <w:bCs/>
          <w:sz w:val="28"/>
          <w:szCs w:val="28"/>
        </w:rPr>
        <w:t>（五）超限高层建筑工程抗震设防专项审查结论认为采用预制构件影响结构抗震安全的建筑，此部分可不采用预制构件。开展预评价时应提供超限报告及专家审查意见，超限报告应有装配式建筑专篇说明。</w:t>
      </w:r>
    </w:p>
    <w:p w14:paraId="72493215">
      <w:pPr>
        <w:adjustRightInd w:val="0"/>
        <w:ind w:firstLine="600" w:firstLineChars="200"/>
        <w:rPr>
          <w:b/>
          <w:bCs/>
          <w:sz w:val="28"/>
          <w:szCs w:val="28"/>
        </w:rPr>
      </w:pPr>
      <w:r>
        <w:rPr>
          <w:rFonts w:eastAsia="黑体"/>
          <w:sz w:val="30"/>
          <w:szCs w:val="30"/>
        </w:rPr>
        <w:t>二、装配率评分项计算公式</w:t>
      </w:r>
    </w:p>
    <w:p w14:paraId="47A7B546">
      <w:pPr>
        <w:adjustRightInd w:val="0"/>
        <w:ind w:firstLine="562" w:firstLineChars="200"/>
        <w:rPr>
          <w:b/>
          <w:bCs/>
          <w:sz w:val="28"/>
          <w:szCs w:val="28"/>
        </w:rPr>
      </w:pPr>
      <w:r>
        <w:rPr>
          <w:b/>
          <w:bCs/>
          <w:sz w:val="28"/>
          <w:szCs w:val="28"/>
        </w:rPr>
        <w:t>（一）主体结构评价分值Q1计算</w:t>
      </w:r>
    </w:p>
    <w:p w14:paraId="21E21E2C">
      <w:pPr>
        <w:adjustRightInd w:val="0"/>
        <w:ind w:firstLine="560" w:firstLineChars="200"/>
        <w:rPr>
          <w:bCs/>
          <w:sz w:val="28"/>
          <w:szCs w:val="28"/>
        </w:rPr>
      </w:pPr>
      <w:r>
        <w:rPr>
          <w:bCs/>
          <w:sz w:val="28"/>
          <w:szCs w:val="28"/>
        </w:rPr>
        <w:t>1.柱、支撑、承重墙、延性墙板等竖向构件</w:t>
      </w:r>
      <w:r>
        <w:rPr>
          <w:sz w:val="28"/>
          <w:szCs w:val="28"/>
        </w:rPr>
        <w:t>预制部品部件应用比例</w:t>
      </w:r>
      <w:r>
        <w:rPr>
          <w:bCs/>
          <w:sz w:val="28"/>
          <w:szCs w:val="28"/>
        </w:rPr>
        <w:t>计算：</w:t>
      </w:r>
    </w:p>
    <w:p w14:paraId="1F4AB039">
      <w:pPr>
        <w:tabs>
          <w:tab w:val="left" w:pos="7350"/>
        </w:tabs>
        <w:adjustRightInd w:val="0"/>
        <w:ind w:left="3537"/>
        <w:rPr>
          <w:sz w:val="28"/>
          <w:szCs w:val="28"/>
        </w:rPr>
      </w:pPr>
      <w:r>
        <w:rPr>
          <w:i/>
          <w:sz w:val="28"/>
          <w:szCs w:val="28"/>
        </w:rPr>
        <w:t>q</w:t>
      </w:r>
      <w:r>
        <w:rPr>
          <w:spacing w:val="1"/>
          <w:position w:val="-2"/>
          <w:sz w:val="28"/>
          <w:szCs w:val="28"/>
        </w:rPr>
        <w:t>1</w:t>
      </w:r>
      <w:r>
        <w:rPr>
          <w:position w:val="-2"/>
          <w:sz w:val="28"/>
          <w:szCs w:val="28"/>
        </w:rPr>
        <w:t>a</w:t>
      </w:r>
      <w:r>
        <w:rPr>
          <w:spacing w:val="-1"/>
          <w:sz w:val="28"/>
          <w:szCs w:val="28"/>
        </w:rPr>
        <w:t>=</w:t>
      </w:r>
      <w:r>
        <w:rPr>
          <w:i/>
          <w:spacing w:val="-1"/>
          <w:sz w:val="28"/>
          <w:szCs w:val="28"/>
        </w:rPr>
        <w:t>V</w:t>
      </w:r>
      <w:r>
        <w:rPr>
          <w:spacing w:val="-2"/>
          <w:position w:val="-2"/>
          <w:sz w:val="28"/>
          <w:szCs w:val="28"/>
        </w:rPr>
        <w:t>1</w:t>
      </w:r>
      <w:r>
        <w:rPr>
          <w:position w:val="-2"/>
          <w:sz w:val="28"/>
          <w:szCs w:val="28"/>
        </w:rPr>
        <w:t>a</w:t>
      </w:r>
      <w:r>
        <w:rPr>
          <w:sz w:val="28"/>
          <w:szCs w:val="28"/>
        </w:rPr>
        <w:t>/</w:t>
      </w:r>
      <w:r>
        <w:rPr>
          <w:i/>
          <w:spacing w:val="-1"/>
          <w:sz w:val="28"/>
          <w:szCs w:val="28"/>
        </w:rPr>
        <w:t>V</w:t>
      </w:r>
      <w:r>
        <w:rPr>
          <w:sz w:val="28"/>
          <w:szCs w:val="28"/>
        </w:rPr>
        <w:t>×100%</w:t>
      </w:r>
      <w:r>
        <w:rPr>
          <w:sz w:val="28"/>
          <w:szCs w:val="28"/>
        </w:rPr>
        <w:tab/>
      </w:r>
    </w:p>
    <w:p w14:paraId="4ADC1231">
      <w:pPr>
        <w:adjustRightInd w:val="0"/>
        <w:ind w:firstLine="560" w:firstLineChars="200"/>
        <w:jc w:val="left"/>
        <w:rPr>
          <w:bCs/>
          <w:sz w:val="28"/>
          <w:szCs w:val="28"/>
        </w:rPr>
      </w:pPr>
      <w:r>
        <w:rPr>
          <w:bCs/>
          <w:sz w:val="28"/>
          <w:szCs w:val="28"/>
        </w:rPr>
        <w:t>式中</w:t>
      </w:r>
      <w:r>
        <w:rPr>
          <w:bCs/>
          <w:spacing w:val="-29"/>
          <w:sz w:val="28"/>
          <w:szCs w:val="28"/>
        </w:rPr>
        <w:t>：</w:t>
      </w:r>
      <w:r>
        <w:rPr>
          <w:bCs/>
          <w:i/>
          <w:sz w:val="28"/>
          <w:szCs w:val="28"/>
        </w:rPr>
        <w:t>q</w:t>
      </w:r>
      <w:r>
        <w:rPr>
          <w:bCs/>
          <w:spacing w:val="1"/>
          <w:position w:val="-2"/>
          <w:sz w:val="28"/>
          <w:szCs w:val="28"/>
        </w:rPr>
        <w:t>1</w:t>
      </w:r>
      <w:r>
        <w:rPr>
          <w:bCs/>
          <w:position w:val="-2"/>
          <w:sz w:val="28"/>
          <w:szCs w:val="28"/>
        </w:rPr>
        <w:t>a</w:t>
      </w:r>
      <w:r>
        <w:rPr>
          <w:bCs/>
          <w:sz w:val="28"/>
          <w:szCs w:val="28"/>
        </w:rPr>
        <w:t>──</w:t>
      </w:r>
      <w:r>
        <w:rPr>
          <w:bCs/>
          <w:spacing w:val="-3"/>
          <w:sz w:val="28"/>
          <w:szCs w:val="28"/>
        </w:rPr>
        <w:t>柱</w:t>
      </w:r>
      <w:r>
        <w:rPr>
          <w:bCs/>
          <w:spacing w:val="-29"/>
          <w:sz w:val="28"/>
          <w:szCs w:val="28"/>
        </w:rPr>
        <w:t>、</w:t>
      </w:r>
      <w:r>
        <w:rPr>
          <w:bCs/>
          <w:sz w:val="28"/>
          <w:szCs w:val="28"/>
        </w:rPr>
        <w:t>支</w:t>
      </w:r>
      <w:r>
        <w:rPr>
          <w:bCs/>
          <w:spacing w:val="-3"/>
          <w:sz w:val="28"/>
          <w:szCs w:val="28"/>
        </w:rPr>
        <w:t>撑</w:t>
      </w:r>
      <w:r>
        <w:rPr>
          <w:bCs/>
          <w:spacing w:val="-29"/>
          <w:sz w:val="28"/>
          <w:szCs w:val="28"/>
        </w:rPr>
        <w:t>、</w:t>
      </w:r>
      <w:r>
        <w:rPr>
          <w:bCs/>
          <w:sz w:val="28"/>
          <w:szCs w:val="28"/>
        </w:rPr>
        <w:t>承重墙</w:t>
      </w:r>
      <w:r>
        <w:rPr>
          <w:bCs/>
          <w:spacing w:val="-29"/>
          <w:sz w:val="28"/>
          <w:szCs w:val="28"/>
        </w:rPr>
        <w:t>、</w:t>
      </w:r>
      <w:r>
        <w:rPr>
          <w:bCs/>
          <w:sz w:val="28"/>
          <w:szCs w:val="28"/>
        </w:rPr>
        <w:t>延性墙板</w:t>
      </w:r>
      <w:r>
        <w:rPr>
          <w:bCs/>
          <w:spacing w:val="-3"/>
          <w:sz w:val="28"/>
          <w:szCs w:val="28"/>
        </w:rPr>
        <w:t>等</w:t>
      </w:r>
      <w:r>
        <w:rPr>
          <w:bCs/>
          <w:sz w:val="28"/>
          <w:szCs w:val="28"/>
        </w:rPr>
        <w:t>主体结构竖向构件中预制部品部件的应用比例；</w:t>
      </w:r>
    </w:p>
    <w:p w14:paraId="37990A06">
      <w:pPr>
        <w:ind w:firstLine="556" w:firstLineChars="200"/>
        <w:rPr>
          <w:sz w:val="28"/>
          <w:szCs w:val="28"/>
        </w:rPr>
      </w:pPr>
      <w:r>
        <w:rPr>
          <w:i/>
          <w:spacing w:val="-1"/>
          <w:sz w:val="28"/>
          <w:szCs w:val="28"/>
        </w:rPr>
        <w:t>V</w:t>
      </w:r>
      <w:r>
        <w:rPr>
          <w:spacing w:val="1"/>
          <w:position w:val="-2"/>
          <w:sz w:val="28"/>
          <w:szCs w:val="28"/>
        </w:rPr>
        <w:t>1</w:t>
      </w:r>
      <w:r>
        <w:rPr>
          <w:spacing w:val="3"/>
          <w:position w:val="-2"/>
          <w:sz w:val="28"/>
          <w:szCs w:val="28"/>
        </w:rPr>
        <w:t>a</w:t>
      </w:r>
      <w:r>
        <w:rPr>
          <w:i/>
          <w:spacing w:val="-1"/>
          <w:sz w:val="28"/>
          <w:szCs w:val="28"/>
        </w:rPr>
        <w:t>──</w:t>
      </w:r>
      <w:r>
        <w:rPr>
          <w:spacing w:val="2"/>
          <w:sz w:val="28"/>
          <w:szCs w:val="28"/>
        </w:rPr>
        <w:t>柱</w:t>
      </w:r>
      <w:r>
        <w:rPr>
          <w:spacing w:val="4"/>
          <w:sz w:val="28"/>
          <w:szCs w:val="28"/>
        </w:rPr>
        <w:t>、</w:t>
      </w:r>
      <w:r>
        <w:rPr>
          <w:spacing w:val="2"/>
          <w:sz w:val="28"/>
          <w:szCs w:val="28"/>
        </w:rPr>
        <w:t>支</w:t>
      </w:r>
      <w:r>
        <w:rPr>
          <w:sz w:val="28"/>
          <w:szCs w:val="28"/>
        </w:rPr>
        <w:t>撑、承重墙、延性墙板等主体结构竖向构件中预制混凝土体积之和；预制凸窗视为竖向结构，构件符合以下几种情形的预制构件间连接部分的后浇混凝土也可计入预制构件体积计算。</w:t>
      </w:r>
    </w:p>
    <w:p w14:paraId="7F60FA8A">
      <w:pPr>
        <w:ind w:firstLine="560" w:firstLineChars="200"/>
        <w:rPr>
          <w:sz w:val="28"/>
          <w:szCs w:val="28"/>
        </w:rPr>
      </w:pPr>
      <w:r>
        <w:rPr>
          <w:sz w:val="28"/>
          <w:szCs w:val="28"/>
        </w:rPr>
        <w:t>（1）预制剪力墙板之间宽度不大于600mm的竖向现浇段和高度不大于300mm的水平后浇带、圈梁的后浇混凝土体积；</w:t>
      </w:r>
    </w:p>
    <w:p w14:paraId="36351F9E">
      <w:pPr>
        <w:ind w:firstLine="560" w:firstLineChars="200"/>
        <w:rPr>
          <w:sz w:val="28"/>
          <w:szCs w:val="28"/>
        </w:rPr>
      </w:pPr>
      <w:r>
        <w:rPr>
          <w:sz w:val="28"/>
          <w:szCs w:val="28"/>
        </w:rPr>
        <w:t>（2）预制框架柱和框架梁之间柱梁节点区的后浇混凝土体积；</w:t>
      </w:r>
    </w:p>
    <w:p w14:paraId="5FC8D55E">
      <w:pPr>
        <w:ind w:firstLine="560" w:firstLineChars="200"/>
        <w:rPr>
          <w:sz w:val="28"/>
          <w:szCs w:val="28"/>
        </w:rPr>
      </w:pPr>
      <w:r>
        <w:rPr>
          <w:sz w:val="28"/>
          <w:szCs w:val="28"/>
        </w:rPr>
        <w:t>（3） 预制柱间高度不大于柱截面较小尺寸的连接区后浇混凝土体积。</w:t>
      </w:r>
    </w:p>
    <w:p w14:paraId="108E63C9">
      <w:pPr>
        <w:adjustRightInd w:val="0"/>
        <w:ind w:right="237" w:firstLine="556" w:firstLineChars="200"/>
        <w:rPr>
          <w:bCs/>
          <w:i/>
          <w:spacing w:val="-1"/>
          <w:sz w:val="28"/>
          <w:szCs w:val="28"/>
        </w:rPr>
      </w:pPr>
      <w:r>
        <w:rPr>
          <w:bCs/>
          <w:i/>
          <w:spacing w:val="-1"/>
          <w:sz w:val="28"/>
          <w:szCs w:val="28"/>
        </w:rPr>
        <w:t>V──</w:t>
      </w:r>
      <w:r>
        <w:rPr>
          <w:bCs/>
          <w:sz w:val="28"/>
          <w:szCs w:val="28"/>
        </w:rPr>
        <w:t>柱、支撑、承重墙、延性墙板等主体结构竖向构件混凝土总体积。</w:t>
      </w:r>
    </w:p>
    <w:p w14:paraId="456B5DCB">
      <w:pPr>
        <w:adjustRightInd w:val="0"/>
        <w:ind w:firstLine="560" w:firstLineChars="200"/>
        <w:rPr>
          <w:bCs/>
          <w:sz w:val="28"/>
          <w:szCs w:val="28"/>
        </w:rPr>
      </w:pPr>
      <w:r>
        <w:rPr>
          <w:bCs/>
          <w:sz w:val="28"/>
          <w:szCs w:val="28"/>
        </w:rPr>
        <w:t>2.梁、板、楼梯、阳台、空调板等水平构件预制部品部件应用比例计算：</w:t>
      </w:r>
    </w:p>
    <w:p w14:paraId="3B5F2DB1">
      <w:pPr>
        <w:tabs>
          <w:tab w:val="left" w:pos="7350"/>
        </w:tabs>
        <w:adjustRightInd w:val="0"/>
        <w:ind w:left="3538"/>
        <w:rPr>
          <w:i/>
          <w:sz w:val="28"/>
          <w:szCs w:val="28"/>
        </w:rPr>
      </w:pPr>
      <w:r>
        <w:rPr>
          <w:i/>
          <w:sz w:val="28"/>
          <w:szCs w:val="28"/>
        </w:rPr>
        <w:t>q1b=A1b/A×100%</w:t>
      </w:r>
    </w:p>
    <w:p w14:paraId="2ECFD125">
      <w:pPr>
        <w:adjustRightInd w:val="0"/>
        <w:ind w:firstLine="560" w:firstLineChars="200"/>
        <w:rPr>
          <w:bCs/>
          <w:sz w:val="28"/>
          <w:szCs w:val="28"/>
        </w:rPr>
      </w:pPr>
      <w:r>
        <w:rPr>
          <w:bCs/>
          <w:sz w:val="28"/>
          <w:szCs w:val="28"/>
        </w:rPr>
        <w:t>式中：</w:t>
      </w:r>
      <w:r>
        <w:rPr>
          <w:bCs/>
          <w:i/>
          <w:sz w:val="28"/>
          <w:szCs w:val="28"/>
        </w:rPr>
        <w:t>q1b</w:t>
      </w:r>
      <w:r>
        <w:rPr>
          <w:bCs/>
          <w:spacing w:val="2"/>
          <w:sz w:val="28"/>
          <w:szCs w:val="28"/>
        </w:rPr>
        <w:t>──</w:t>
      </w:r>
      <w:r>
        <w:rPr>
          <w:bCs/>
          <w:sz w:val="28"/>
          <w:szCs w:val="28"/>
        </w:rPr>
        <w:t>梁、板、楼梯、阳台、空调板等构件中预制部品部件的应用比例；</w:t>
      </w:r>
    </w:p>
    <w:p w14:paraId="3703C57E">
      <w:pPr>
        <w:adjustRightInd w:val="0"/>
        <w:ind w:right="237" w:firstLine="560" w:firstLineChars="200"/>
        <w:rPr>
          <w:bCs/>
          <w:sz w:val="28"/>
          <w:szCs w:val="28"/>
        </w:rPr>
      </w:pPr>
      <w:r>
        <w:rPr>
          <w:bCs/>
          <w:i/>
          <w:sz w:val="28"/>
          <w:szCs w:val="28"/>
        </w:rPr>
        <w:t>A1b</w:t>
      </w:r>
      <w:r>
        <w:rPr>
          <w:bCs/>
          <w:spacing w:val="2"/>
          <w:sz w:val="28"/>
          <w:szCs w:val="28"/>
        </w:rPr>
        <w:t>──</w:t>
      </w:r>
      <w:r>
        <w:rPr>
          <w:bCs/>
          <w:sz w:val="28"/>
          <w:szCs w:val="28"/>
        </w:rPr>
        <w:t>各楼层中预制装配梁、板、楼梯、阳台、空调板等构件的水平投影面积之和。</w:t>
      </w:r>
    </w:p>
    <w:p w14:paraId="0B218C62">
      <w:pPr>
        <w:ind w:firstLine="560" w:firstLineChars="200"/>
        <w:rPr>
          <w:sz w:val="28"/>
          <w:szCs w:val="28"/>
        </w:rPr>
      </w:pPr>
      <w:r>
        <w:rPr>
          <w:sz w:val="28"/>
          <w:szCs w:val="28"/>
        </w:rPr>
        <w:t>预制装配式楼板、屋面板的水平投影面积可包括：</w:t>
      </w:r>
    </w:p>
    <w:p w14:paraId="22F5D2F9">
      <w:pPr>
        <w:ind w:firstLine="560" w:firstLineChars="200"/>
        <w:rPr>
          <w:sz w:val="28"/>
          <w:szCs w:val="28"/>
        </w:rPr>
      </w:pPr>
      <w:r>
        <w:rPr>
          <w:sz w:val="28"/>
          <w:szCs w:val="28"/>
        </w:rPr>
        <w:t>（1）预制装配式叠合楼板、屋面板的水平投影面积；</w:t>
      </w:r>
    </w:p>
    <w:p w14:paraId="3A149031">
      <w:pPr>
        <w:ind w:firstLine="560" w:firstLineChars="200"/>
        <w:rPr>
          <w:sz w:val="28"/>
          <w:szCs w:val="28"/>
        </w:rPr>
      </w:pPr>
      <w:r>
        <w:rPr>
          <w:sz w:val="28"/>
          <w:szCs w:val="28"/>
        </w:rPr>
        <w:t>（2）预制构件间宽度不大于300mm的后浇混凝土带水平投影面积；</w:t>
      </w:r>
    </w:p>
    <w:p w14:paraId="5F92E122">
      <w:pPr>
        <w:ind w:firstLine="560" w:firstLineChars="200"/>
        <w:rPr>
          <w:sz w:val="28"/>
          <w:szCs w:val="28"/>
        </w:rPr>
      </w:pPr>
      <w:r>
        <w:rPr>
          <w:sz w:val="28"/>
          <w:szCs w:val="28"/>
        </w:rPr>
        <w:t>（3）金属楼承板和屋面板、木楼盖和屋盖及其他在施工现场免支模的楼盖和屋盖的水平投影面积。</w:t>
      </w:r>
    </w:p>
    <w:p w14:paraId="282C2AC5">
      <w:pPr>
        <w:adjustRightInd w:val="0"/>
        <w:ind w:firstLine="560" w:firstLineChars="200"/>
        <w:rPr>
          <w:bCs/>
          <w:sz w:val="28"/>
          <w:szCs w:val="28"/>
        </w:rPr>
      </w:pPr>
      <w:r>
        <w:rPr>
          <w:bCs/>
          <w:i/>
          <w:sz w:val="28"/>
          <w:szCs w:val="28"/>
        </w:rPr>
        <w:t>A──</w:t>
      </w:r>
      <w:r>
        <w:rPr>
          <w:bCs/>
          <w:sz w:val="28"/>
          <w:szCs w:val="28"/>
        </w:rPr>
        <w:t>各楼层建筑平面总面积（可扣除柱、承重墙水平截面、电梯井、管井、洞口、</w:t>
      </w:r>
      <w:r>
        <w:rPr>
          <w:rFonts w:hint="eastAsia"/>
          <w:bCs/>
          <w:sz w:val="28"/>
          <w:szCs w:val="28"/>
        </w:rPr>
        <w:t>预制</w:t>
      </w:r>
      <w:r>
        <w:rPr>
          <w:bCs/>
          <w:sz w:val="28"/>
          <w:szCs w:val="28"/>
        </w:rPr>
        <w:t>凸窗水平面积的楼层实际投影面积）</w:t>
      </w:r>
      <w:r>
        <w:rPr>
          <w:rFonts w:hint="eastAsia"/>
          <w:bCs/>
          <w:sz w:val="28"/>
          <w:szCs w:val="28"/>
        </w:rPr>
        <w:t>。</w:t>
      </w:r>
    </w:p>
    <w:p w14:paraId="268A2B11">
      <w:pPr>
        <w:adjustRightInd w:val="0"/>
        <w:ind w:firstLine="562" w:firstLineChars="200"/>
        <w:rPr>
          <w:b/>
          <w:bCs/>
          <w:sz w:val="28"/>
          <w:szCs w:val="28"/>
        </w:rPr>
      </w:pPr>
      <w:r>
        <w:rPr>
          <w:b/>
          <w:bCs/>
          <w:sz w:val="28"/>
          <w:szCs w:val="28"/>
        </w:rPr>
        <w:t>（二）围护墙和内隔墙评价分值Q2计算</w:t>
      </w:r>
    </w:p>
    <w:p w14:paraId="609DE33C">
      <w:pPr>
        <w:adjustRightInd w:val="0"/>
        <w:ind w:firstLine="560" w:firstLineChars="200"/>
        <w:rPr>
          <w:bCs/>
          <w:sz w:val="28"/>
          <w:szCs w:val="28"/>
        </w:rPr>
      </w:pPr>
      <w:r>
        <w:rPr>
          <w:bCs/>
          <w:sz w:val="28"/>
          <w:szCs w:val="28"/>
        </w:rPr>
        <w:t>1.非承重围护墙中非砌筑墙体的应用比例计算：</w:t>
      </w:r>
    </w:p>
    <w:p w14:paraId="69967A1F">
      <w:pPr>
        <w:adjustRightInd w:val="0"/>
        <w:jc w:val="center"/>
        <w:rPr>
          <w:i/>
          <w:kern w:val="0"/>
          <w:sz w:val="28"/>
          <w:szCs w:val="28"/>
        </w:rPr>
      </w:pPr>
      <w:r>
        <w:rPr>
          <w:i/>
          <w:kern w:val="0"/>
          <w:sz w:val="28"/>
          <w:szCs w:val="28"/>
        </w:rPr>
        <w:t>q2a=A2a/Aw1×100%</w:t>
      </w:r>
    </w:p>
    <w:p w14:paraId="02EDEA6B">
      <w:pPr>
        <w:adjustRightInd w:val="0"/>
        <w:ind w:firstLine="560" w:firstLineChars="200"/>
        <w:jc w:val="left"/>
        <w:rPr>
          <w:sz w:val="28"/>
          <w:szCs w:val="28"/>
        </w:rPr>
      </w:pPr>
      <w:r>
        <w:rPr>
          <w:sz w:val="28"/>
          <w:szCs w:val="28"/>
        </w:rPr>
        <w:t>式中：</w:t>
      </w:r>
      <w:r>
        <w:rPr>
          <w:i/>
          <w:kern w:val="0"/>
          <w:sz w:val="28"/>
          <w:szCs w:val="28"/>
        </w:rPr>
        <w:t>q2a</w:t>
      </w:r>
      <w:r>
        <w:rPr>
          <w:sz w:val="28"/>
          <w:szCs w:val="28"/>
        </w:rPr>
        <w:t>──非承重围护墙中非砌筑墙体的应用比例；</w:t>
      </w:r>
    </w:p>
    <w:p w14:paraId="0E3E2B6D">
      <w:pPr>
        <w:adjustRightInd w:val="0"/>
        <w:ind w:firstLine="560" w:firstLineChars="200"/>
        <w:rPr>
          <w:sz w:val="28"/>
          <w:szCs w:val="28"/>
        </w:rPr>
      </w:pPr>
      <w:r>
        <w:rPr>
          <w:bCs/>
          <w:i/>
          <w:sz w:val="28"/>
          <w:szCs w:val="28"/>
        </w:rPr>
        <w:t>A2a──</w:t>
      </w:r>
      <w:r>
        <w:rPr>
          <w:sz w:val="28"/>
          <w:szCs w:val="28"/>
        </w:rPr>
        <w:t>各楼层非承重围护墙中非砌筑墙体的外表面积之和，计算时可不扣除门、窗及预留洞口等的面积；</w:t>
      </w:r>
    </w:p>
    <w:p w14:paraId="246BA882">
      <w:pPr>
        <w:adjustRightInd w:val="0"/>
        <w:ind w:left="-96" w:leftChars="-30" w:firstLine="840" w:firstLineChars="300"/>
        <w:rPr>
          <w:bCs/>
          <w:i/>
          <w:sz w:val="28"/>
          <w:szCs w:val="28"/>
        </w:rPr>
      </w:pPr>
      <w:r>
        <w:rPr>
          <w:bCs/>
          <w:i/>
          <w:sz w:val="28"/>
          <w:szCs w:val="28"/>
        </w:rPr>
        <w:t>Aw1──</w:t>
      </w:r>
      <w:r>
        <w:rPr>
          <w:sz w:val="28"/>
          <w:szCs w:val="28"/>
        </w:rPr>
        <w:t>各楼层非承重围护墙外表面总面积，计算时可不扣除门、窗及预留洞口等的面积。</w:t>
      </w:r>
    </w:p>
    <w:p w14:paraId="74B228B6">
      <w:pPr>
        <w:adjustRightInd w:val="0"/>
        <w:ind w:firstLine="560" w:firstLineChars="200"/>
        <w:rPr>
          <w:bCs/>
          <w:sz w:val="28"/>
          <w:szCs w:val="28"/>
        </w:rPr>
      </w:pPr>
      <w:r>
        <w:rPr>
          <w:bCs/>
          <w:sz w:val="28"/>
          <w:szCs w:val="28"/>
        </w:rPr>
        <w:t>2.围护墙与保温、隔热、装饰一体化的应用比例计算：</w:t>
      </w:r>
    </w:p>
    <w:p w14:paraId="25E2F1BD">
      <w:pPr>
        <w:tabs>
          <w:tab w:val="left" w:pos="7384"/>
        </w:tabs>
        <w:adjustRightInd w:val="0"/>
        <w:ind w:left="3240"/>
        <w:rPr>
          <w:sz w:val="28"/>
          <w:szCs w:val="28"/>
        </w:rPr>
      </w:pPr>
      <w:r>
        <w:rPr>
          <w:i/>
          <w:sz w:val="28"/>
          <w:szCs w:val="28"/>
        </w:rPr>
        <w:t>q</w:t>
      </w:r>
      <w:r>
        <w:rPr>
          <w:spacing w:val="1"/>
          <w:position w:val="-2"/>
          <w:sz w:val="28"/>
          <w:szCs w:val="28"/>
        </w:rPr>
        <w:t>2b</w:t>
      </w:r>
      <w:r>
        <w:rPr>
          <w:spacing w:val="-1"/>
          <w:sz w:val="28"/>
          <w:szCs w:val="28"/>
        </w:rPr>
        <w:t>=</w:t>
      </w:r>
      <w:r>
        <w:rPr>
          <w:i/>
          <w:spacing w:val="-1"/>
          <w:sz w:val="28"/>
          <w:szCs w:val="28"/>
        </w:rPr>
        <w:t>A</w:t>
      </w:r>
      <w:r>
        <w:rPr>
          <w:spacing w:val="-2"/>
          <w:position w:val="-2"/>
          <w:sz w:val="28"/>
          <w:szCs w:val="28"/>
        </w:rPr>
        <w:t>2</w:t>
      </w:r>
      <w:r>
        <w:rPr>
          <w:spacing w:val="1"/>
          <w:position w:val="-2"/>
          <w:sz w:val="28"/>
          <w:szCs w:val="28"/>
        </w:rPr>
        <w:t>b</w:t>
      </w:r>
      <w:r>
        <w:rPr>
          <w:sz w:val="28"/>
          <w:szCs w:val="28"/>
        </w:rPr>
        <w:t>/</w:t>
      </w:r>
      <w:r>
        <w:rPr>
          <w:i/>
          <w:spacing w:val="-1"/>
          <w:sz w:val="28"/>
          <w:szCs w:val="28"/>
        </w:rPr>
        <w:t>A</w:t>
      </w:r>
      <w:r>
        <w:rPr>
          <w:spacing w:val="-4"/>
          <w:position w:val="-2"/>
          <w:sz w:val="28"/>
          <w:szCs w:val="28"/>
        </w:rPr>
        <w:t>w</w:t>
      </w:r>
      <w:r>
        <w:rPr>
          <w:spacing w:val="1"/>
          <w:position w:val="-2"/>
          <w:sz w:val="28"/>
          <w:szCs w:val="28"/>
        </w:rPr>
        <w:t>2</w:t>
      </w:r>
      <w:r>
        <w:rPr>
          <w:sz w:val="28"/>
          <w:szCs w:val="28"/>
        </w:rPr>
        <w:t>×100%</w:t>
      </w:r>
      <w:r>
        <w:rPr>
          <w:sz w:val="28"/>
          <w:szCs w:val="28"/>
        </w:rPr>
        <w:tab/>
      </w:r>
    </w:p>
    <w:p w14:paraId="10E15437">
      <w:pPr>
        <w:adjustRightInd w:val="0"/>
        <w:ind w:firstLine="560" w:firstLineChars="200"/>
        <w:rPr>
          <w:bCs/>
          <w:sz w:val="28"/>
          <w:szCs w:val="28"/>
        </w:rPr>
      </w:pPr>
      <w:r>
        <w:rPr>
          <w:bCs/>
          <w:sz w:val="28"/>
          <w:szCs w:val="28"/>
        </w:rPr>
        <w:t>式中：</w:t>
      </w:r>
      <w:r>
        <w:rPr>
          <w:bCs/>
          <w:i/>
          <w:sz w:val="28"/>
          <w:szCs w:val="28"/>
        </w:rPr>
        <w:t>q</w:t>
      </w:r>
      <w:r>
        <w:rPr>
          <w:bCs/>
          <w:spacing w:val="1"/>
          <w:position w:val="-2"/>
          <w:sz w:val="28"/>
          <w:szCs w:val="28"/>
        </w:rPr>
        <w:t>2b</w:t>
      </w:r>
      <w:r>
        <w:rPr>
          <w:bCs/>
          <w:sz w:val="28"/>
          <w:szCs w:val="28"/>
        </w:rPr>
        <w:t>──围护墙</w:t>
      </w:r>
      <w:r>
        <w:rPr>
          <w:bCs/>
          <w:spacing w:val="-3"/>
          <w:sz w:val="28"/>
          <w:szCs w:val="28"/>
        </w:rPr>
        <w:t>与</w:t>
      </w:r>
      <w:r>
        <w:rPr>
          <w:bCs/>
          <w:sz w:val="28"/>
          <w:szCs w:val="28"/>
        </w:rPr>
        <w:t>保温、隔热、装饰一体化的应用比例；</w:t>
      </w:r>
    </w:p>
    <w:p w14:paraId="35C0B0C4">
      <w:pPr>
        <w:adjustRightInd w:val="0"/>
        <w:ind w:firstLine="556" w:firstLineChars="200"/>
        <w:rPr>
          <w:bCs/>
          <w:sz w:val="28"/>
          <w:szCs w:val="28"/>
        </w:rPr>
      </w:pPr>
      <w:r>
        <w:rPr>
          <w:bCs/>
          <w:i/>
          <w:spacing w:val="-1"/>
          <w:sz w:val="28"/>
          <w:szCs w:val="28"/>
        </w:rPr>
        <w:t>A</w:t>
      </w:r>
      <w:r>
        <w:rPr>
          <w:bCs/>
          <w:spacing w:val="1"/>
          <w:position w:val="-2"/>
          <w:sz w:val="28"/>
          <w:szCs w:val="28"/>
        </w:rPr>
        <w:t>2b</w:t>
      </w:r>
      <w:r>
        <w:rPr>
          <w:bCs/>
          <w:sz w:val="28"/>
          <w:szCs w:val="28"/>
        </w:rPr>
        <w:t>──各楼层采用</w:t>
      </w:r>
      <w:r>
        <w:rPr>
          <w:bCs/>
          <w:spacing w:val="-3"/>
          <w:sz w:val="28"/>
          <w:szCs w:val="28"/>
        </w:rPr>
        <w:t>墙</w:t>
      </w:r>
      <w:r>
        <w:rPr>
          <w:bCs/>
          <w:sz w:val="28"/>
          <w:szCs w:val="28"/>
        </w:rPr>
        <w:t>体</w:t>
      </w:r>
      <w:r>
        <w:rPr>
          <w:bCs/>
          <w:spacing w:val="-36"/>
          <w:sz w:val="28"/>
          <w:szCs w:val="28"/>
        </w:rPr>
        <w:t>、</w:t>
      </w:r>
      <w:r>
        <w:rPr>
          <w:bCs/>
          <w:sz w:val="28"/>
          <w:szCs w:val="28"/>
        </w:rPr>
        <w:t>保温</w:t>
      </w:r>
      <w:r>
        <w:rPr>
          <w:bCs/>
          <w:spacing w:val="-36"/>
          <w:sz w:val="28"/>
          <w:szCs w:val="28"/>
        </w:rPr>
        <w:t>、</w:t>
      </w:r>
      <w:r>
        <w:rPr>
          <w:bCs/>
          <w:sz w:val="28"/>
          <w:szCs w:val="28"/>
        </w:rPr>
        <w:t>隔热</w:t>
      </w:r>
      <w:r>
        <w:rPr>
          <w:bCs/>
          <w:spacing w:val="-36"/>
          <w:sz w:val="28"/>
          <w:szCs w:val="28"/>
        </w:rPr>
        <w:t>、</w:t>
      </w:r>
      <w:r>
        <w:rPr>
          <w:bCs/>
          <w:sz w:val="28"/>
          <w:szCs w:val="28"/>
        </w:rPr>
        <w:t>装</w:t>
      </w:r>
      <w:r>
        <w:rPr>
          <w:bCs/>
          <w:spacing w:val="2"/>
          <w:sz w:val="28"/>
          <w:szCs w:val="28"/>
        </w:rPr>
        <w:t>饰</w:t>
      </w:r>
      <w:r>
        <w:rPr>
          <w:bCs/>
          <w:sz w:val="28"/>
          <w:szCs w:val="28"/>
        </w:rPr>
        <w:t>一体化做法的围护墙外表面积之和，计算时可不扣除门、窗及预留洞口等的面积；</w:t>
      </w:r>
    </w:p>
    <w:p w14:paraId="08AC17E2">
      <w:pPr>
        <w:adjustRightInd w:val="0"/>
        <w:ind w:firstLine="556" w:firstLineChars="200"/>
        <w:rPr>
          <w:bCs/>
          <w:i/>
          <w:spacing w:val="-1"/>
          <w:sz w:val="28"/>
          <w:szCs w:val="28"/>
        </w:rPr>
      </w:pPr>
      <w:r>
        <w:rPr>
          <w:bCs/>
          <w:i/>
          <w:spacing w:val="-1"/>
          <w:sz w:val="28"/>
          <w:szCs w:val="28"/>
        </w:rPr>
        <w:t>Aw2──</w:t>
      </w:r>
      <w:r>
        <w:rPr>
          <w:bCs/>
          <w:spacing w:val="-3"/>
          <w:sz w:val="28"/>
          <w:szCs w:val="28"/>
        </w:rPr>
        <w:t>各楼层围护墙外表面总面积，计算时可不扣除门、窗及预留洞口等的面积。</w:t>
      </w:r>
    </w:p>
    <w:p w14:paraId="5791A12A">
      <w:pPr>
        <w:adjustRightInd w:val="0"/>
        <w:ind w:firstLine="560" w:firstLineChars="200"/>
        <w:rPr>
          <w:bCs/>
          <w:sz w:val="28"/>
          <w:szCs w:val="28"/>
        </w:rPr>
      </w:pPr>
      <w:r>
        <w:rPr>
          <w:bCs/>
          <w:sz w:val="28"/>
          <w:szCs w:val="28"/>
        </w:rPr>
        <w:t>3.内隔墙中非砌筑墙体的应用比例计算：</w:t>
      </w:r>
    </w:p>
    <w:p w14:paraId="76AC17DE">
      <w:pPr>
        <w:tabs>
          <w:tab w:val="left" w:pos="7020"/>
        </w:tabs>
        <w:adjustRightInd w:val="0"/>
        <w:ind w:left="3254"/>
        <w:rPr>
          <w:sz w:val="28"/>
          <w:szCs w:val="28"/>
        </w:rPr>
      </w:pPr>
      <w:r>
        <w:rPr>
          <w:i/>
          <w:sz w:val="28"/>
          <w:szCs w:val="28"/>
        </w:rPr>
        <w:t>q</w:t>
      </w:r>
      <w:r>
        <w:rPr>
          <w:spacing w:val="1"/>
          <w:position w:val="-2"/>
          <w:sz w:val="28"/>
          <w:szCs w:val="28"/>
        </w:rPr>
        <w:t>2</w:t>
      </w:r>
      <w:r>
        <w:rPr>
          <w:position w:val="-2"/>
          <w:sz w:val="28"/>
          <w:szCs w:val="28"/>
        </w:rPr>
        <w:t>c</w:t>
      </w:r>
      <w:r>
        <w:rPr>
          <w:spacing w:val="-1"/>
          <w:sz w:val="28"/>
          <w:szCs w:val="28"/>
        </w:rPr>
        <w:t>=</w:t>
      </w:r>
      <w:r>
        <w:rPr>
          <w:i/>
          <w:spacing w:val="-1"/>
          <w:sz w:val="28"/>
          <w:szCs w:val="28"/>
        </w:rPr>
        <w:t>A</w:t>
      </w:r>
      <w:r>
        <w:rPr>
          <w:spacing w:val="-2"/>
          <w:position w:val="-2"/>
          <w:sz w:val="28"/>
          <w:szCs w:val="28"/>
        </w:rPr>
        <w:t>2</w:t>
      </w:r>
      <w:r>
        <w:rPr>
          <w:position w:val="-2"/>
          <w:sz w:val="28"/>
          <w:szCs w:val="28"/>
        </w:rPr>
        <w:t>c</w:t>
      </w:r>
      <w:r>
        <w:rPr>
          <w:sz w:val="28"/>
          <w:szCs w:val="28"/>
        </w:rPr>
        <w:t>/</w:t>
      </w:r>
      <w:r>
        <w:rPr>
          <w:i/>
          <w:spacing w:val="-1"/>
          <w:sz w:val="28"/>
          <w:szCs w:val="28"/>
        </w:rPr>
        <w:t>A</w:t>
      </w:r>
      <w:r>
        <w:rPr>
          <w:spacing w:val="-4"/>
          <w:position w:val="-2"/>
          <w:sz w:val="28"/>
          <w:szCs w:val="28"/>
        </w:rPr>
        <w:t>w</w:t>
      </w:r>
      <w:r>
        <w:rPr>
          <w:spacing w:val="1"/>
          <w:position w:val="-2"/>
          <w:sz w:val="28"/>
          <w:szCs w:val="28"/>
        </w:rPr>
        <w:t>3</w:t>
      </w:r>
      <w:r>
        <w:rPr>
          <w:sz w:val="28"/>
          <w:szCs w:val="28"/>
        </w:rPr>
        <w:t>×100%</w:t>
      </w:r>
      <w:r>
        <w:rPr>
          <w:sz w:val="28"/>
          <w:szCs w:val="28"/>
        </w:rPr>
        <w:tab/>
      </w:r>
    </w:p>
    <w:p w14:paraId="2724213B">
      <w:pPr>
        <w:adjustRightInd w:val="0"/>
        <w:ind w:firstLine="560" w:firstLineChars="200"/>
        <w:rPr>
          <w:bCs/>
          <w:i/>
          <w:spacing w:val="-1"/>
          <w:sz w:val="28"/>
          <w:szCs w:val="28"/>
        </w:rPr>
      </w:pPr>
      <w:r>
        <w:rPr>
          <w:bCs/>
          <w:sz w:val="28"/>
          <w:szCs w:val="28"/>
        </w:rPr>
        <w:t>式中：</w:t>
      </w:r>
      <w:r>
        <w:rPr>
          <w:bCs/>
          <w:i/>
          <w:spacing w:val="-1"/>
          <w:sz w:val="28"/>
          <w:szCs w:val="28"/>
        </w:rPr>
        <w:t>q2c──</w:t>
      </w:r>
      <w:r>
        <w:rPr>
          <w:bCs/>
          <w:sz w:val="28"/>
          <w:szCs w:val="28"/>
        </w:rPr>
        <w:t>内隔墙中非砌筑墙体的应用比例；</w:t>
      </w:r>
    </w:p>
    <w:p w14:paraId="5DC7BD65">
      <w:pPr>
        <w:adjustRightInd w:val="0"/>
        <w:ind w:firstLine="556" w:firstLineChars="200"/>
        <w:jc w:val="left"/>
        <w:rPr>
          <w:bCs/>
          <w:i/>
          <w:spacing w:val="-1"/>
          <w:sz w:val="28"/>
          <w:szCs w:val="28"/>
        </w:rPr>
      </w:pPr>
      <w:r>
        <w:rPr>
          <w:bCs/>
          <w:i/>
          <w:spacing w:val="-1"/>
          <w:sz w:val="28"/>
          <w:szCs w:val="28"/>
        </w:rPr>
        <w:t>A2c──</w:t>
      </w:r>
      <w:r>
        <w:rPr>
          <w:bCs/>
          <w:sz w:val="28"/>
          <w:szCs w:val="28"/>
        </w:rPr>
        <w:t>各楼层内隔墙中非砌筑墙体的墙面面积之和，计算时可不扣除门、窗及预留洞口等的面积；</w:t>
      </w:r>
    </w:p>
    <w:p w14:paraId="78E50F9D">
      <w:pPr>
        <w:adjustRightInd w:val="0"/>
        <w:ind w:firstLine="556" w:firstLineChars="200"/>
        <w:jc w:val="left"/>
        <w:rPr>
          <w:bCs/>
          <w:sz w:val="28"/>
          <w:szCs w:val="28"/>
        </w:rPr>
      </w:pPr>
      <w:r>
        <w:rPr>
          <w:bCs/>
          <w:i/>
          <w:spacing w:val="-1"/>
          <w:sz w:val="28"/>
          <w:szCs w:val="28"/>
        </w:rPr>
        <w:t>Aw3──</w:t>
      </w:r>
      <w:r>
        <w:rPr>
          <w:bCs/>
          <w:sz w:val="28"/>
          <w:szCs w:val="28"/>
        </w:rPr>
        <w:t>各楼层内隔墙墙面总面积，计算时可不扣除门、窗及预留洞口等的面积。</w:t>
      </w:r>
    </w:p>
    <w:p w14:paraId="5B9037DD">
      <w:pPr>
        <w:adjustRightInd w:val="0"/>
        <w:ind w:firstLine="560" w:firstLineChars="200"/>
        <w:rPr>
          <w:bCs/>
          <w:sz w:val="28"/>
          <w:szCs w:val="28"/>
        </w:rPr>
      </w:pPr>
      <w:r>
        <w:rPr>
          <w:bCs/>
          <w:sz w:val="28"/>
          <w:szCs w:val="28"/>
        </w:rPr>
        <w:t>4.内隔墙采用墙体、管线、装修一体化的应用比例计算：</w:t>
      </w:r>
    </w:p>
    <w:p w14:paraId="0E5BC403">
      <w:pPr>
        <w:tabs>
          <w:tab w:val="left" w:pos="7020"/>
        </w:tabs>
        <w:adjustRightInd w:val="0"/>
        <w:ind w:left="3235"/>
        <w:rPr>
          <w:sz w:val="28"/>
          <w:szCs w:val="28"/>
        </w:rPr>
      </w:pPr>
      <w:r>
        <w:rPr>
          <w:i/>
          <w:sz w:val="28"/>
          <w:szCs w:val="28"/>
        </w:rPr>
        <w:t>q</w:t>
      </w:r>
      <w:r>
        <w:rPr>
          <w:spacing w:val="1"/>
          <w:position w:val="-2"/>
          <w:sz w:val="28"/>
          <w:szCs w:val="28"/>
        </w:rPr>
        <w:t>2d</w:t>
      </w:r>
      <w:r>
        <w:rPr>
          <w:spacing w:val="-1"/>
          <w:sz w:val="28"/>
          <w:szCs w:val="28"/>
        </w:rPr>
        <w:t>=</w:t>
      </w:r>
      <w:r>
        <w:rPr>
          <w:i/>
          <w:spacing w:val="-1"/>
          <w:sz w:val="28"/>
          <w:szCs w:val="28"/>
        </w:rPr>
        <w:t>A</w:t>
      </w:r>
      <w:r>
        <w:rPr>
          <w:spacing w:val="-2"/>
          <w:position w:val="-2"/>
          <w:sz w:val="28"/>
          <w:szCs w:val="28"/>
        </w:rPr>
        <w:t>2</w:t>
      </w:r>
      <w:r>
        <w:rPr>
          <w:spacing w:val="1"/>
          <w:position w:val="-2"/>
          <w:sz w:val="28"/>
          <w:szCs w:val="28"/>
        </w:rPr>
        <w:t>d</w:t>
      </w:r>
      <w:r>
        <w:rPr>
          <w:sz w:val="28"/>
          <w:szCs w:val="28"/>
        </w:rPr>
        <w:t>/</w:t>
      </w:r>
      <w:r>
        <w:rPr>
          <w:i/>
          <w:spacing w:val="-1"/>
          <w:sz w:val="28"/>
          <w:szCs w:val="28"/>
        </w:rPr>
        <w:t>A</w:t>
      </w:r>
      <w:r>
        <w:rPr>
          <w:spacing w:val="-4"/>
          <w:position w:val="-2"/>
          <w:sz w:val="28"/>
          <w:szCs w:val="28"/>
        </w:rPr>
        <w:t>w</w:t>
      </w:r>
      <w:r>
        <w:rPr>
          <w:spacing w:val="1"/>
          <w:position w:val="-2"/>
          <w:sz w:val="28"/>
          <w:szCs w:val="28"/>
        </w:rPr>
        <w:t>3</w:t>
      </w:r>
      <w:r>
        <w:rPr>
          <w:sz w:val="28"/>
          <w:szCs w:val="28"/>
        </w:rPr>
        <w:t>×100%</w:t>
      </w:r>
      <w:r>
        <w:rPr>
          <w:sz w:val="28"/>
          <w:szCs w:val="28"/>
        </w:rPr>
        <w:tab/>
      </w:r>
    </w:p>
    <w:p w14:paraId="4CE050BA">
      <w:pPr>
        <w:adjustRightInd w:val="0"/>
        <w:ind w:left="117"/>
        <w:jc w:val="center"/>
        <w:rPr>
          <w:bCs/>
          <w:sz w:val="28"/>
          <w:szCs w:val="28"/>
        </w:rPr>
      </w:pPr>
      <w:r>
        <w:rPr>
          <w:bCs/>
          <w:sz w:val="28"/>
          <w:szCs w:val="28"/>
        </w:rPr>
        <w:t>式中：</w:t>
      </w:r>
      <w:r>
        <w:rPr>
          <w:bCs/>
          <w:i/>
          <w:sz w:val="28"/>
          <w:szCs w:val="28"/>
        </w:rPr>
        <w:t>q</w:t>
      </w:r>
      <w:r>
        <w:rPr>
          <w:bCs/>
          <w:spacing w:val="1"/>
          <w:position w:val="-2"/>
          <w:sz w:val="28"/>
          <w:szCs w:val="28"/>
        </w:rPr>
        <w:t>2d</w:t>
      </w:r>
      <w:r>
        <w:rPr>
          <w:bCs/>
          <w:sz w:val="28"/>
          <w:szCs w:val="28"/>
        </w:rPr>
        <w:t>──内隔墙</w:t>
      </w:r>
      <w:r>
        <w:rPr>
          <w:bCs/>
          <w:spacing w:val="-3"/>
          <w:sz w:val="28"/>
          <w:szCs w:val="28"/>
        </w:rPr>
        <w:t>采</w:t>
      </w:r>
      <w:r>
        <w:rPr>
          <w:bCs/>
          <w:sz w:val="28"/>
          <w:szCs w:val="28"/>
        </w:rPr>
        <w:t>用墙体、管线、装修一体化的应用比例；</w:t>
      </w:r>
    </w:p>
    <w:p w14:paraId="32DD75BD">
      <w:pPr>
        <w:adjustRightInd w:val="0"/>
        <w:ind w:firstLine="556" w:firstLineChars="200"/>
        <w:rPr>
          <w:bCs/>
          <w:sz w:val="28"/>
          <w:szCs w:val="28"/>
        </w:rPr>
      </w:pPr>
      <w:r>
        <w:rPr>
          <w:bCs/>
          <w:i/>
          <w:spacing w:val="-1"/>
          <w:sz w:val="28"/>
          <w:szCs w:val="28"/>
        </w:rPr>
        <w:t>A</w:t>
      </w:r>
      <w:r>
        <w:rPr>
          <w:bCs/>
          <w:spacing w:val="1"/>
          <w:position w:val="-2"/>
          <w:sz w:val="28"/>
          <w:szCs w:val="28"/>
        </w:rPr>
        <w:t>2</w:t>
      </w:r>
      <w:r>
        <w:rPr>
          <w:bCs/>
          <w:spacing w:val="3"/>
          <w:position w:val="-2"/>
          <w:sz w:val="28"/>
          <w:szCs w:val="28"/>
        </w:rPr>
        <w:t>d</w:t>
      </w:r>
      <w:r>
        <w:rPr>
          <w:bCs/>
          <w:spacing w:val="2"/>
          <w:sz w:val="28"/>
          <w:szCs w:val="28"/>
        </w:rPr>
        <w:t>──各楼层</w:t>
      </w:r>
      <w:r>
        <w:rPr>
          <w:bCs/>
          <w:spacing w:val="4"/>
          <w:sz w:val="28"/>
          <w:szCs w:val="28"/>
        </w:rPr>
        <w:t>内</w:t>
      </w:r>
      <w:r>
        <w:rPr>
          <w:bCs/>
          <w:spacing w:val="2"/>
          <w:sz w:val="28"/>
          <w:szCs w:val="28"/>
        </w:rPr>
        <w:t>隔</w:t>
      </w:r>
      <w:r>
        <w:rPr>
          <w:bCs/>
          <w:spacing w:val="4"/>
          <w:sz w:val="28"/>
          <w:szCs w:val="28"/>
        </w:rPr>
        <w:t>墙</w:t>
      </w:r>
      <w:r>
        <w:rPr>
          <w:bCs/>
          <w:spacing w:val="2"/>
          <w:sz w:val="28"/>
          <w:szCs w:val="28"/>
        </w:rPr>
        <w:t>采用</w:t>
      </w:r>
      <w:r>
        <w:rPr>
          <w:bCs/>
          <w:spacing w:val="4"/>
          <w:sz w:val="28"/>
          <w:szCs w:val="28"/>
        </w:rPr>
        <w:t>墙</w:t>
      </w:r>
      <w:r>
        <w:rPr>
          <w:bCs/>
          <w:spacing w:val="2"/>
          <w:sz w:val="28"/>
          <w:szCs w:val="28"/>
        </w:rPr>
        <w:t>体、</w:t>
      </w:r>
      <w:r>
        <w:rPr>
          <w:bCs/>
          <w:spacing w:val="4"/>
          <w:sz w:val="28"/>
          <w:szCs w:val="28"/>
        </w:rPr>
        <w:t>管</w:t>
      </w:r>
      <w:r>
        <w:rPr>
          <w:bCs/>
          <w:spacing w:val="2"/>
          <w:sz w:val="28"/>
          <w:szCs w:val="28"/>
        </w:rPr>
        <w:t>线</w:t>
      </w:r>
      <w:r>
        <w:rPr>
          <w:bCs/>
          <w:spacing w:val="4"/>
          <w:sz w:val="28"/>
          <w:szCs w:val="28"/>
        </w:rPr>
        <w:t>、</w:t>
      </w:r>
      <w:r>
        <w:rPr>
          <w:bCs/>
          <w:spacing w:val="2"/>
          <w:sz w:val="28"/>
          <w:szCs w:val="28"/>
        </w:rPr>
        <w:t>装</w:t>
      </w:r>
      <w:r>
        <w:rPr>
          <w:bCs/>
          <w:spacing w:val="4"/>
          <w:sz w:val="28"/>
          <w:szCs w:val="28"/>
        </w:rPr>
        <w:t>修</w:t>
      </w:r>
      <w:r>
        <w:rPr>
          <w:bCs/>
          <w:spacing w:val="2"/>
          <w:sz w:val="28"/>
          <w:szCs w:val="28"/>
        </w:rPr>
        <w:t>一体</w:t>
      </w:r>
      <w:r>
        <w:rPr>
          <w:bCs/>
          <w:spacing w:val="4"/>
          <w:sz w:val="28"/>
          <w:szCs w:val="28"/>
        </w:rPr>
        <w:t>化</w:t>
      </w:r>
      <w:r>
        <w:rPr>
          <w:bCs/>
          <w:spacing w:val="2"/>
          <w:sz w:val="28"/>
          <w:szCs w:val="28"/>
        </w:rPr>
        <w:t>的墙</w:t>
      </w:r>
      <w:r>
        <w:rPr>
          <w:bCs/>
          <w:spacing w:val="4"/>
          <w:sz w:val="28"/>
          <w:szCs w:val="28"/>
        </w:rPr>
        <w:t>面</w:t>
      </w:r>
      <w:r>
        <w:rPr>
          <w:bCs/>
          <w:spacing w:val="2"/>
          <w:sz w:val="28"/>
          <w:szCs w:val="28"/>
        </w:rPr>
        <w:t>面积</w:t>
      </w:r>
      <w:r>
        <w:rPr>
          <w:bCs/>
          <w:spacing w:val="4"/>
          <w:sz w:val="28"/>
          <w:szCs w:val="28"/>
        </w:rPr>
        <w:t>之和</w:t>
      </w:r>
      <w:r>
        <w:rPr>
          <w:bCs/>
          <w:spacing w:val="2"/>
          <w:sz w:val="28"/>
          <w:szCs w:val="28"/>
        </w:rPr>
        <w:t>，</w:t>
      </w:r>
      <w:r>
        <w:rPr>
          <w:bCs/>
          <w:sz w:val="28"/>
          <w:szCs w:val="28"/>
        </w:rPr>
        <w:t>计算时可不扣除门、窗及预留洞口等的面积</w:t>
      </w:r>
      <w:r>
        <w:rPr>
          <w:rFonts w:hint="eastAsia"/>
          <w:bCs/>
          <w:sz w:val="28"/>
          <w:szCs w:val="28"/>
        </w:rPr>
        <w:t>；</w:t>
      </w:r>
    </w:p>
    <w:p w14:paraId="531B9F81">
      <w:pPr>
        <w:adjustRightInd w:val="0"/>
        <w:ind w:firstLine="556" w:firstLineChars="200"/>
        <w:jc w:val="left"/>
        <w:rPr>
          <w:bCs/>
          <w:sz w:val="28"/>
          <w:szCs w:val="28"/>
        </w:rPr>
      </w:pPr>
      <w:r>
        <w:rPr>
          <w:bCs/>
          <w:i/>
          <w:spacing w:val="-1"/>
          <w:sz w:val="28"/>
          <w:szCs w:val="28"/>
        </w:rPr>
        <w:t>Aw3──</w:t>
      </w:r>
      <w:r>
        <w:rPr>
          <w:bCs/>
          <w:sz w:val="28"/>
          <w:szCs w:val="28"/>
        </w:rPr>
        <w:t>各楼层内隔墙墙面总面积，计算时可不扣除门、窗及预留洞口等的面积。</w:t>
      </w:r>
    </w:p>
    <w:p w14:paraId="7E2E48DC">
      <w:pPr>
        <w:adjustRightInd w:val="0"/>
        <w:ind w:firstLine="562" w:firstLineChars="200"/>
        <w:rPr>
          <w:b/>
          <w:bCs/>
          <w:sz w:val="28"/>
          <w:szCs w:val="28"/>
        </w:rPr>
      </w:pPr>
      <w:r>
        <w:rPr>
          <w:b/>
          <w:bCs/>
          <w:sz w:val="28"/>
          <w:szCs w:val="28"/>
        </w:rPr>
        <w:t>（三）装修与</w:t>
      </w:r>
      <w:bookmarkStart w:id="0" w:name="_GoBack"/>
      <w:bookmarkEnd w:id="0"/>
      <w:r>
        <w:rPr>
          <w:b/>
          <w:bCs/>
          <w:sz w:val="28"/>
          <w:szCs w:val="28"/>
        </w:rPr>
        <w:t>设备管线评价分值Q3计算</w:t>
      </w:r>
    </w:p>
    <w:p w14:paraId="59429F42">
      <w:pPr>
        <w:widowControl/>
        <w:ind w:firstLine="560" w:firstLineChars="200"/>
        <w:jc w:val="left"/>
        <w:rPr>
          <w:bCs/>
          <w:sz w:val="28"/>
          <w:szCs w:val="28"/>
        </w:rPr>
      </w:pPr>
      <w:r>
        <w:rPr>
          <w:bCs/>
          <w:sz w:val="28"/>
          <w:szCs w:val="28"/>
        </w:rPr>
        <w:t>1.全装修</w:t>
      </w:r>
    </w:p>
    <w:p w14:paraId="5A690F85">
      <w:pPr>
        <w:widowControl/>
        <w:ind w:firstLine="560" w:firstLineChars="200"/>
        <w:jc w:val="left"/>
        <w:rPr>
          <w:sz w:val="28"/>
          <w:szCs w:val="28"/>
        </w:rPr>
      </w:pPr>
      <w:r>
        <w:rPr>
          <w:rFonts w:hint="eastAsia"/>
          <w:sz w:val="28"/>
          <w:szCs w:val="28"/>
        </w:rPr>
        <w:t xml:space="preserve">（1）居住类建筑全装修范围包括建筑的公共区域、户内各功能空间； </w:t>
      </w:r>
    </w:p>
    <w:p w14:paraId="5E720E96">
      <w:pPr>
        <w:widowControl/>
        <w:ind w:firstLine="560" w:firstLineChars="200"/>
        <w:jc w:val="left"/>
        <w:rPr>
          <w:sz w:val="28"/>
          <w:szCs w:val="28"/>
        </w:rPr>
      </w:pPr>
      <w:r>
        <w:rPr>
          <w:rFonts w:hint="eastAsia"/>
          <w:sz w:val="28"/>
          <w:szCs w:val="28"/>
        </w:rPr>
        <w:t xml:space="preserve">（2）公共建筑全装修范围包括公共区域和已确定使用功能的室内区域； </w:t>
      </w:r>
      <w:r>
        <w:rPr>
          <w:sz w:val="28"/>
          <w:szCs w:val="28"/>
        </w:rPr>
        <w:t xml:space="preserve">      </w:t>
      </w:r>
    </w:p>
    <w:p w14:paraId="274402E0">
      <w:pPr>
        <w:widowControl/>
        <w:ind w:firstLine="560" w:firstLineChars="200"/>
        <w:jc w:val="left"/>
        <w:rPr>
          <w:sz w:val="28"/>
          <w:szCs w:val="28"/>
        </w:rPr>
      </w:pPr>
      <w:r>
        <w:rPr>
          <w:sz w:val="28"/>
          <w:szCs w:val="28"/>
        </w:rPr>
        <w:t>（3）</w:t>
      </w:r>
      <w:r>
        <w:rPr>
          <w:rFonts w:hint="eastAsia"/>
          <w:sz w:val="28"/>
          <w:szCs w:val="28"/>
        </w:rPr>
        <w:t>装配式建筑主体设计应与内、外装修设计同步协同设计。</w:t>
      </w:r>
    </w:p>
    <w:p w14:paraId="1EE58349">
      <w:pPr>
        <w:adjustRightInd w:val="0"/>
        <w:ind w:firstLine="560" w:firstLineChars="200"/>
        <w:rPr>
          <w:bCs/>
          <w:sz w:val="28"/>
          <w:szCs w:val="28"/>
        </w:rPr>
      </w:pPr>
      <w:r>
        <w:rPr>
          <w:bCs/>
          <w:sz w:val="28"/>
          <w:szCs w:val="28"/>
        </w:rPr>
        <w:t>2.</w:t>
      </w:r>
      <w:r>
        <w:rPr>
          <w:sz w:val="28"/>
          <w:szCs w:val="28"/>
        </w:rPr>
        <w:t>干式</w:t>
      </w:r>
      <w:r>
        <w:rPr>
          <w:spacing w:val="-3"/>
          <w:sz w:val="28"/>
          <w:szCs w:val="28"/>
        </w:rPr>
        <w:t>工</w:t>
      </w:r>
      <w:r>
        <w:rPr>
          <w:sz w:val="28"/>
          <w:szCs w:val="28"/>
        </w:rPr>
        <w:t>法</w:t>
      </w:r>
      <w:r>
        <w:rPr>
          <w:spacing w:val="-3"/>
          <w:sz w:val="28"/>
          <w:szCs w:val="28"/>
        </w:rPr>
        <w:t>的</w:t>
      </w:r>
      <w:r>
        <w:rPr>
          <w:sz w:val="28"/>
          <w:szCs w:val="28"/>
        </w:rPr>
        <w:t>楼</w:t>
      </w:r>
      <w:r>
        <w:rPr>
          <w:spacing w:val="-3"/>
          <w:sz w:val="28"/>
          <w:szCs w:val="28"/>
        </w:rPr>
        <w:t>面</w:t>
      </w:r>
      <w:r>
        <w:rPr>
          <w:sz w:val="28"/>
          <w:szCs w:val="28"/>
        </w:rPr>
        <w:t>、</w:t>
      </w:r>
      <w:r>
        <w:rPr>
          <w:spacing w:val="-3"/>
          <w:sz w:val="28"/>
          <w:szCs w:val="28"/>
        </w:rPr>
        <w:t>地</w:t>
      </w:r>
      <w:r>
        <w:rPr>
          <w:sz w:val="28"/>
          <w:szCs w:val="28"/>
        </w:rPr>
        <w:t>面</w:t>
      </w:r>
      <w:r>
        <w:rPr>
          <w:bCs/>
          <w:sz w:val="28"/>
          <w:szCs w:val="28"/>
        </w:rPr>
        <w:t>的应用比例计算：</w:t>
      </w:r>
    </w:p>
    <w:p w14:paraId="08765686">
      <w:pPr>
        <w:tabs>
          <w:tab w:val="left" w:pos="7020"/>
        </w:tabs>
        <w:adjustRightInd w:val="0"/>
        <w:ind w:left="3328"/>
        <w:rPr>
          <w:sz w:val="28"/>
          <w:szCs w:val="28"/>
        </w:rPr>
      </w:pPr>
      <w:r>
        <w:rPr>
          <w:i/>
          <w:sz w:val="28"/>
          <w:szCs w:val="28"/>
        </w:rPr>
        <w:t>q</w:t>
      </w:r>
      <w:r>
        <w:rPr>
          <w:spacing w:val="1"/>
          <w:position w:val="-2"/>
          <w:sz w:val="28"/>
          <w:szCs w:val="28"/>
        </w:rPr>
        <w:t>3</w:t>
      </w:r>
      <w:r>
        <w:rPr>
          <w:position w:val="-2"/>
          <w:sz w:val="28"/>
          <w:szCs w:val="28"/>
        </w:rPr>
        <w:t>a</w:t>
      </w:r>
      <w:r>
        <w:rPr>
          <w:spacing w:val="-1"/>
          <w:sz w:val="28"/>
          <w:szCs w:val="28"/>
        </w:rPr>
        <w:t>=</w:t>
      </w:r>
      <w:r>
        <w:rPr>
          <w:i/>
          <w:spacing w:val="-1"/>
          <w:sz w:val="28"/>
          <w:szCs w:val="28"/>
        </w:rPr>
        <w:t>A</w:t>
      </w:r>
      <w:r>
        <w:rPr>
          <w:spacing w:val="-2"/>
          <w:position w:val="-2"/>
          <w:sz w:val="28"/>
          <w:szCs w:val="28"/>
        </w:rPr>
        <w:t>3</w:t>
      </w:r>
      <w:r>
        <w:rPr>
          <w:position w:val="-2"/>
          <w:sz w:val="28"/>
          <w:szCs w:val="28"/>
        </w:rPr>
        <w:t>a</w:t>
      </w:r>
      <w:r>
        <w:rPr>
          <w:sz w:val="28"/>
          <w:szCs w:val="28"/>
        </w:rPr>
        <w:t>/</w:t>
      </w:r>
      <w:r>
        <w:rPr>
          <w:i/>
          <w:spacing w:val="-1"/>
          <w:sz w:val="28"/>
          <w:szCs w:val="28"/>
        </w:rPr>
        <w:t>A1</w:t>
      </w:r>
      <w:r>
        <w:rPr>
          <w:sz w:val="28"/>
          <w:szCs w:val="28"/>
        </w:rPr>
        <w:t>×100%</w:t>
      </w:r>
      <w:r>
        <w:rPr>
          <w:sz w:val="28"/>
          <w:szCs w:val="28"/>
        </w:rPr>
        <w:tab/>
      </w:r>
    </w:p>
    <w:p w14:paraId="17742D76">
      <w:pPr>
        <w:adjustRightInd w:val="0"/>
        <w:ind w:firstLine="560" w:firstLineChars="200"/>
        <w:rPr>
          <w:bCs/>
          <w:sz w:val="28"/>
          <w:szCs w:val="28"/>
        </w:rPr>
      </w:pPr>
      <w:r>
        <w:rPr>
          <w:bCs/>
          <w:sz w:val="28"/>
          <w:szCs w:val="28"/>
        </w:rPr>
        <w:t>式中：</w:t>
      </w:r>
      <w:r>
        <w:rPr>
          <w:bCs/>
          <w:i/>
          <w:sz w:val="28"/>
          <w:szCs w:val="28"/>
        </w:rPr>
        <w:t>q</w:t>
      </w:r>
      <w:r>
        <w:rPr>
          <w:bCs/>
          <w:spacing w:val="1"/>
          <w:position w:val="-2"/>
          <w:sz w:val="28"/>
          <w:szCs w:val="28"/>
        </w:rPr>
        <w:t>3</w:t>
      </w:r>
      <w:r>
        <w:rPr>
          <w:bCs/>
          <w:position w:val="-2"/>
          <w:sz w:val="28"/>
          <w:szCs w:val="28"/>
        </w:rPr>
        <w:t>a</w:t>
      </w:r>
      <w:r>
        <w:rPr>
          <w:bCs/>
          <w:sz w:val="28"/>
          <w:szCs w:val="28"/>
        </w:rPr>
        <w:t>──干式工</w:t>
      </w:r>
      <w:r>
        <w:rPr>
          <w:bCs/>
          <w:spacing w:val="-3"/>
          <w:sz w:val="28"/>
          <w:szCs w:val="28"/>
        </w:rPr>
        <w:t>法</w:t>
      </w:r>
      <w:r>
        <w:rPr>
          <w:bCs/>
          <w:sz w:val="28"/>
          <w:szCs w:val="28"/>
        </w:rPr>
        <w:t>楼面、地面的应用比例；</w:t>
      </w:r>
    </w:p>
    <w:p w14:paraId="5D245668">
      <w:pPr>
        <w:adjustRightInd w:val="0"/>
        <w:ind w:firstLine="556" w:firstLineChars="200"/>
        <w:rPr>
          <w:bCs/>
          <w:sz w:val="28"/>
          <w:szCs w:val="28"/>
        </w:rPr>
      </w:pPr>
      <w:r>
        <w:rPr>
          <w:bCs/>
          <w:i/>
          <w:spacing w:val="-1"/>
          <w:sz w:val="28"/>
          <w:szCs w:val="28"/>
        </w:rPr>
        <w:t>A</w:t>
      </w:r>
      <w:r>
        <w:rPr>
          <w:bCs/>
          <w:spacing w:val="1"/>
          <w:position w:val="-2"/>
          <w:sz w:val="28"/>
          <w:szCs w:val="28"/>
        </w:rPr>
        <w:t>3</w:t>
      </w:r>
      <w:r>
        <w:rPr>
          <w:bCs/>
          <w:position w:val="-2"/>
          <w:sz w:val="28"/>
          <w:szCs w:val="28"/>
        </w:rPr>
        <w:t>a</w:t>
      </w:r>
      <w:r>
        <w:rPr>
          <w:bCs/>
          <w:sz w:val="28"/>
          <w:szCs w:val="28"/>
        </w:rPr>
        <w:t>──各楼层采用</w:t>
      </w:r>
      <w:r>
        <w:rPr>
          <w:bCs/>
          <w:spacing w:val="-3"/>
          <w:sz w:val="28"/>
          <w:szCs w:val="28"/>
        </w:rPr>
        <w:t>干</w:t>
      </w:r>
      <w:r>
        <w:rPr>
          <w:bCs/>
          <w:sz w:val="28"/>
          <w:szCs w:val="28"/>
        </w:rPr>
        <w:t>式工法的楼面、地面水平投影面积之和</w:t>
      </w:r>
      <w:r>
        <w:rPr>
          <w:rFonts w:hint="eastAsia"/>
          <w:bCs/>
          <w:sz w:val="28"/>
          <w:szCs w:val="28"/>
        </w:rPr>
        <w:t>；</w:t>
      </w:r>
    </w:p>
    <w:p w14:paraId="6A20FA1E">
      <w:pPr>
        <w:adjustRightInd w:val="0"/>
        <w:ind w:firstLine="560" w:firstLineChars="200"/>
        <w:jc w:val="left"/>
        <w:rPr>
          <w:bCs/>
          <w:sz w:val="28"/>
          <w:szCs w:val="28"/>
        </w:rPr>
      </w:pPr>
      <w:r>
        <w:rPr>
          <w:bCs/>
          <w:i/>
          <w:sz w:val="28"/>
          <w:szCs w:val="28"/>
        </w:rPr>
        <w:t>A1</w:t>
      </w:r>
      <w:r>
        <w:rPr>
          <w:bCs/>
          <w:i/>
          <w:spacing w:val="-1"/>
          <w:sz w:val="28"/>
          <w:szCs w:val="28"/>
        </w:rPr>
        <w:t>──</w:t>
      </w:r>
      <w:r>
        <w:rPr>
          <w:bCs/>
          <w:sz w:val="28"/>
          <w:szCs w:val="28"/>
        </w:rPr>
        <w:t>各楼层扣除柱、墙水平截面，集成厨房和集成卫生间地面面积后的建筑平面总面积。</w:t>
      </w:r>
    </w:p>
    <w:p w14:paraId="0189559B">
      <w:pPr>
        <w:adjustRightInd w:val="0"/>
        <w:ind w:firstLine="560" w:firstLineChars="200"/>
        <w:jc w:val="left"/>
        <w:rPr>
          <w:bCs/>
          <w:sz w:val="28"/>
          <w:szCs w:val="28"/>
        </w:rPr>
      </w:pPr>
      <w:r>
        <w:rPr>
          <w:bCs/>
          <w:sz w:val="28"/>
          <w:szCs w:val="28"/>
        </w:rPr>
        <w:t>干式</w:t>
      </w:r>
      <w:r>
        <w:rPr>
          <w:rFonts w:hint="eastAsia"/>
          <w:bCs/>
          <w:sz w:val="28"/>
          <w:szCs w:val="28"/>
        </w:rPr>
        <w:t>工法楼面、地面：混凝土施工精度达到免砂浆找平要求，且采用架空地板、木地板或采用3</w:t>
      </w:r>
      <w:r>
        <w:rPr>
          <w:bCs/>
          <w:sz w:val="28"/>
          <w:szCs w:val="28"/>
        </w:rPr>
        <w:t>-5mm厚度预拌瓷砖胶粘剂进行铺贴的薄贴工艺。</w:t>
      </w:r>
    </w:p>
    <w:p w14:paraId="05982BBD">
      <w:pPr>
        <w:adjustRightInd w:val="0"/>
        <w:ind w:firstLine="560" w:firstLineChars="200"/>
        <w:rPr>
          <w:bCs/>
          <w:sz w:val="28"/>
          <w:szCs w:val="28"/>
        </w:rPr>
      </w:pPr>
      <w:r>
        <w:rPr>
          <w:bCs/>
          <w:sz w:val="28"/>
          <w:szCs w:val="28"/>
        </w:rPr>
        <w:t>3.集成厨房（</w:t>
      </w:r>
      <w:r>
        <w:rPr>
          <w:rFonts w:hint="eastAsia"/>
          <w:bCs/>
          <w:sz w:val="28"/>
          <w:szCs w:val="28"/>
        </w:rPr>
        <w:t>橱柜和厨房设备等全部安装到位），</w:t>
      </w:r>
      <w:r>
        <w:rPr>
          <w:sz w:val="28"/>
          <w:szCs w:val="28"/>
        </w:rPr>
        <w:t>干式工法</w:t>
      </w:r>
      <w:r>
        <w:rPr>
          <w:bCs/>
          <w:sz w:val="28"/>
          <w:szCs w:val="28"/>
        </w:rPr>
        <w:t>的应用比例计算：</w:t>
      </w:r>
    </w:p>
    <w:p w14:paraId="574222E3">
      <w:pPr>
        <w:tabs>
          <w:tab w:val="left" w:pos="7379"/>
        </w:tabs>
        <w:adjustRightInd w:val="0"/>
        <w:ind w:left="3230"/>
        <w:rPr>
          <w:sz w:val="28"/>
          <w:szCs w:val="28"/>
        </w:rPr>
      </w:pPr>
      <w:r>
        <w:rPr>
          <w:i/>
          <w:sz w:val="28"/>
          <w:szCs w:val="28"/>
        </w:rPr>
        <w:t>q</w:t>
      </w:r>
      <w:r>
        <w:rPr>
          <w:spacing w:val="1"/>
          <w:position w:val="-2"/>
          <w:sz w:val="28"/>
          <w:szCs w:val="28"/>
        </w:rPr>
        <w:t>3b</w:t>
      </w:r>
      <w:r>
        <w:rPr>
          <w:spacing w:val="-1"/>
          <w:sz w:val="28"/>
          <w:szCs w:val="28"/>
        </w:rPr>
        <w:t>=</w:t>
      </w:r>
      <w:r>
        <w:rPr>
          <w:i/>
          <w:spacing w:val="-1"/>
          <w:sz w:val="28"/>
          <w:szCs w:val="28"/>
        </w:rPr>
        <w:t>A</w:t>
      </w:r>
      <w:r>
        <w:rPr>
          <w:spacing w:val="-2"/>
          <w:position w:val="-2"/>
          <w:sz w:val="28"/>
          <w:szCs w:val="28"/>
        </w:rPr>
        <w:t>3</w:t>
      </w:r>
      <w:r>
        <w:rPr>
          <w:spacing w:val="1"/>
          <w:position w:val="-2"/>
          <w:sz w:val="28"/>
          <w:szCs w:val="28"/>
        </w:rPr>
        <w:t>b</w:t>
      </w:r>
      <w:r>
        <w:rPr>
          <w:sz w:val="28"/>
          <w:szCs w:val="28"/>
        </w:rPr>
        <w:t>/</w:t>
      </w:r>
      <w:r>
        <w:rPr>
          <w:i/>
          <w:spacing w:val="-3"/>
          <w:sz w:val="28"/>
          <w:szCs w:val="28"/>
        </w:rPr>
        <w:t>A</w:t>
      </w:r>
      <w:r>
        <w:rPr>
          <w:spacing w:val="1"/>
          <w:position w:val="-2"/>
          <w:sz w:val="28"/>
          <w:szCs w:val="28"/>
        </w:rPr>
        <w:t>k</w:t>
      </w:r>
      <w:r>
        <w:rPr>
          <w:sz w:val="28"/>
          <w:szCs w:val="28"/>
        </w:rPr>
        <w:t>×100%</w:t>
      </w:r>
      <w:r>
        <w:rPr>
          <w:sz w:val="28"/>
          <w:szCs w:val="28"/>
        </w:rPr>
        <w:tab/>
      </w:r>
    </w:p>
    <w:p w14:paraId="57D70112">
      <w:pPr>
        <w:adjustRightInd w:val="0"/>
        <w:ind w:left="117" w:firstLine="560" w:firstLineChars="200"/>
        <w:rPr>
          <w:bCs/>
          <w:sz w:val="28"/>
          <w:szCs w:val="28"/>
        </w:rPr>
      </w:pPr>
      <w:r>
        <w:rPr>
          <w:bCs/>
          <w:sz w:val="28"/>
          <w:szCs w:val="28"/>
        </w:rPr>
        <w:t>式中：</w:t>
      </w:r>
      <w:r>
        <w:rPr>
          <w:bCs/>
          <w:i/>
          <w:sz w:val="28"/>
          <w:szCs w:val="28"/>
        </w:rPr>
        <w:t>q</w:t>
      </w:r>
      <w:r>
        <w:rPr>
          <w:bCs/>
          <w:spacing w:val="1"/>
          <w:position w:val="-2"/>
          <w:sz w:val="28"/>
          <w:szCs w:val="28"/>
        </w:rPr>
        <w:t>3b</w:t>
      </w:r>
      <w:r>
        <w:rPr>
          <w:bCs/>
          <w:sz w:val="28"/>
          <w:szCs w:val="28"/>
        </w:rPr>
        <w:t>──集成厨</w:t>
      </w:r>
      <w:r>
        <w:rPr>
          <w:bCs/>
          <w:spacing w:val="-3"/>
          <w:sz w:val="28"/>
          <w:szCs w:val="28"/>
        </w:rPr>
        <w:t>房</w:t>
      </w:r>
      <w:r>
        <w:rPr>
          <w:bCs/>
          <w:sz w:val="28"/>
          <w:szCs w:val="28"/>
        </w:rPr>
        <w:t>干式工法的应用比例；</w:t>
      </w:r>
    </w:p>
    <w:p w14:paraId="43A8436D">
      <w:pPr>
        <w:adjustRightInd w:val="0"/>
        <w:ind w:firstLine="556" w:firstLineChars="200"/>
        <w:rPr>
          <w:bCs/>
          <w:sz w:val="28"/>
          <w:szCs w:val="28"/>
        </w:rPr>
      </w:pPr>
      <w:r>
        <w:rPr>
          <w:bCs/>
          <w:i/>
          <w:spacing w:val="-1"/>
          <w:sz w:val="28"/>
          <w:szCs w:val="28"/>
        </w:rPr>
        <w:t>A</w:t>
      </w:r>
      <w:r>
        <w:rPr>
          <w:bCs/>
          <w:spacing w:val="1"/>
          <w:position w:val="-2"/>
          <w:sz w:val="28"/>
          <w:szCs w:val="28"/>
        </w:rPr>
        <w:t>3b</w:t>
      </w:r>
      <w:r>
        <w:rPr>
          <w:bCs/>
          <w:sz w:val="28"/>
          <w:szCs w:val="28"/>
        </w:rPr>
        <w:t>──各楼层厨房</w:t>
      </w:r>
      <w:r>
        <w:rPr>
          <w:bCs/>
          <w:spacing w:val="-3"/>
          <w:sz w:val="28"/>
          <w:szCs w:val="28"/>
        </w:rPr>
        <w:t>墙</w:t>
      </w:r>
      <w:r>
        <w:rPr>
          <w:bCs/>
          <w:sz w:val="28"/>
          <w:szCs w:val="28"/>
        </w:rPr>
        <w:t>面、顶面和地面采用干式工法的面积之和；</w:t>
      </w:r>
    </w:p>
    <w:p w14:paraId="23403D15">
      <w:pPr>
        <w:adjustRightInd w:val="0"/>
        <w:ind w:firstLine="556" w:firstLineChars="200"/>
        <w:rPr>
          <w:bCs/>
          <w:sz w:val="28"/>
          <w:szCs w:val="28"/>
        </w:rPr>
      </w:pPr>
      <w:r>
        <w:rPr>
          <w:i/>
          <w:spacing w:val="-1"/>
          <w:sz w:val="28"/>
          <w:szCs w:val="28"/>
        </w:rPr>
        <w:t>A</w:t>
      </w:r>
      <w:r>
        <w:rPr>
          <w:spacing w:val="1"/>
          <w:position w:val="-2"/>
          <w:sz w:val="28"/>
          <w:szCs w:val="28"/>
        </w:rPr>
        <w:t>k</w:t>
      </w:r>
      <w:r>
        <w:rPr>
          <w:i/>
          <w:spacing w:val="-1"/>
          <w:sz w:val="28"/>
          <w:szCs w:val="28"/>
        </w:rPr>
        <w:t>──</w:t>
      </w:r>
      <w:r>
        <w:rPr>
          <w:sz w:val="28"/>
          <w:szCs w:val="28"/>
        </w:rPr>
        <w:t>各楼层厨房的</w:t>
      </w:r>
      <w:r>
        <w:rPr>
          <w:spacing w:val="-3"/>
          <w:sz w:val="28"/>
          <w:szCs w:val="28"/>
        </w:rPr>
        <w:t>墙</w:t>
      </w:r>
      <w:r>
        <w:rPr>
          <w:sz w:val="28"/>
          <w:szCs w:val="28"/>
        </w:rPr>
        <w:t>面、顶面和地面的总面积。</w:t>
      </w:r>
    </w:p>
    <w:p w14:paraId="2365A54D">
      <w:pPr>
        <w:adjustRightInd w:val="0"/>
        <w:ind w:firstLine="560" w:firstLineChars="200"/>
        <w:rPr>
          <w:bCs/>
          <w:sz w:val="28"/>
          <w:szCs w:val="28"/>
        </w:rPr>
      </w:pPr>
      <w:r>
        <w:rPr>
          <w:bCs/>
          <w:sz w:val="28"/>
          <w:szCs w:val="28"/>
        </w:rPr>
        <w:t>4.集成卫生间</w:t>
      </w:r>
      <w:r>
        <w:rPr>
          <w:rFonts w:hint="eastAsia"/>
          <w:sz w:val="28"/>
          <w:szCs w:val="28"/>
        </w:rPr>
        <w:t>（洁具、设备等全部安装到位），</w:t>
      </w:r>
      <w:r>
        <w:rPr>
          <w:sz w:val="28"/>
          <w:szCs w:val="28"/>
        </w:rPr>
        <w:t>干式工法</w:t>
      </w:r>
      <w:r>
        <w:rPr>
          <w:bCs/>
          <w:sz w:val="28"/>
          <w:szCs w:val="28"/>
        </w:rPr>
        <w:t>的应用比例计算：</w:t>
      </w:r>
    </w:p>
    <w:p w14:paraId="171F557B">
      <w:pPr>
        <w:tabs>
          <w:tab w:val="left" w:pos="7379"/>
        </w:tabs>
        <w:adjustRightInd w:val="0"/>
        <w:ind w:left="3249"/>
        <w:rPr>
          <w:sz w:val="28"/>
          <w:szCs w:val="28"/>
        </w:rPr>
      </w:pPr>
      <w:r>
        <w:rPr>
          <w:i/>
          <w:sz w:val="28"/>
          <w:szCs w:val="28"/>
        </w:rPr>
        <w:t>q</w:t>
      </w:r>
      <w:r>
        <w:rPr>
          <w:spacing w:val="1"/>
          <w:position w:val="-2"/>
          <w:sz w:val="28"/>
          <w:szCs w:val="28"/>
        </w:rPr>
        <w:t>3</w:t>
      </w:r>
      <w:r>
        <w:rPr>
          <w:position w:val="-2"/>
          <w:sz w:val="28"/>
          <w:szCs w:val="28"/>
        </w:rPr>
        <w:t>c</w:t>
      </w:r>
      <w:r>
        <w:rPr>
          <w:spacing w:val="-1"/>
          <w:sz w:val="28"/>
          <w:szCs w:val="28"/>
        </w:rPr>
        <w:t>=</w:t>
      </w:r>
      <w:r>
        <w:rPr>
          <w:i/>
          <w:spacing w:val="-1"/>
          <w:sz w:val="28"/>
          <w:szCs w:val="28"/>
        </w:rPr>
        <w:t>A</w:t>
      </w:r>
      <w:r>
        <w:rPr>
          <w:spacing w:val="-2"/>
          <w:position w:val="-2"/>
          <w:sz w:val="28"/>
          <w:szCs w:val="28"/>
        </w:rPr>
        <w:t>3</w:t>
      </w:r>
      <w:r>
        <w:rPr>
          <w:position w:val="-2"/>
          <w:sz w:val="28"/>
          <w:szCs w:val="28"/>
        </w:rPr>
        <w:t>c</w:t>
      </w:r>
      <w:r>
        <w:rPr>
          <w:sz w:val="28"/>
          <w:szCs w:val="28"/>
        </w:rPr>
        <w:t>/</w:t>
      </w:r>
      <w:r>
        <w:rPr>
          <w:i/>
          <w:spacing w:val="-1"/>
          <w:sz w:val="28"/>
          <w:szCs w:val="28"/>
        </w:rPr>
        <w:t>A</w:t>
      </w:r>
      <w:r>
        <w:rPr>
          <w:spacing w:val="1"/>
          <w:position w:val="-2"/>
          <w:sz w:val="28"/>
          <w:szCs w:val="28"/>
        </w:rPr>
        <w:t>b</w:t>
      </w:r>
      <w:r>
        <w:rPr>
          <w:sz w:val="28"/>
          <w:szCs w:val="28"/>
        </w:rPr>
        <w:t>×100%</w:t>
      </w:r>
      <w:r>
        <w:rPr>
          <w:sz w:val="28"/>
          <w:szCs w:val="28"/>
        </w:rPr>
        <w:tab/>
      </w:r>
    </w:p>
    <w:p w14:paraId="24C348E0">
      <w:pPr>
        <w:adjustRightInd w:val="0"/>
        <w:ind w:firstLine="560" w:firstLineChars="200"/>
        <w:rPr>
          <w:bCs/>
          <w:sz w:val="28"/>
          <w:szCs w:val="28"/>
        </w:rPr>
      </w:pPr>
      <w:r>
        <w:rPr>
          <w:bCs/>
          <w:sz w:val="28"/>
          <w:szCs w:val="28"/>
        </w:rPr>
        <w:t>式中：</w:t>
      </w:r>
      <w:r>
        <w:rPr>
          <w:bCs/>
          <w:i/>
          <w:sz w:val="28"/>
          <w:szCs w:val="28"/>
        </w:rPr>
        <w:t>q</w:t>
      </w:r>
      <w:r>
        <w:rPr>
          <w:bCs/>
          <w:spacing w:val="1"/>
          <w:position w:val="-2"/>
          <w:sz w:val="28"/>
          <w:szCs w:val="28"/>
        </w:rPr>
        <w:t>3</w:t>
      </w:r>
      <w:r>
        <w:rPr>
          <w:bCs/>
          <w:position w:val="-2"/>
          <w:sz w:val="28"/>
          <w:szCs w:val="28"/>
        </w:rPr>
        <w:t>c</w:t>
      </w:r>
      <w:r>
        <w:rPr>
          <w:bCs/>
          <w:sz w:val="28"/>
          <w:szCs w:val="28"/>
        </w:rPr>
        <w:t>──集成卫</w:t>
      </w:r>
      <w:r>
        <w:rPr>
          <w:bCs/>
          <w:spacing w:val="-3"/>
          <w:sz w:val="28"/>
          <w:szCs w:val="28"/>
        </w:rPr>
        <w:t>生</w:t>
      </w:r>
      <w:r>
        <w:rPr>
          <w:bCs/>
          <w:sz w:val="28"/>
          <w:szCs w:val="28"/>
        </w:rPr>
        <w:t>间干式工法的应用比例；</w:t>
      </w:r>
    </w:p>
    <w:p w14:paraId="7DBD1014">
      <w:pPr>
        <w:adjustRightInd w:val="0"/>
        <w:ind w:firstLine="556" w:firstLineChars="200"/>
        <w:rPr>
          <w:bCs/>
          <w:sz w:val="28"/>
          <w:szCs w:val="28"/>
        </w:rPr>
      </w:pPr>
      <w:r>
        <w:rPr>
          <w:bCs/>
          <w:i/>
          <w:spacing w:val="-1"/>
          <w:sz w:val="28"/>
          <w:szCs w:val="28"/>
        </w:rPr>
        <w:t>A</w:t>
      </w:r>
      <w:r>
        <w:rPr>
          <w:bCs/>
          <w:spacing w:val="1"/>
          <w:position w:val="-2"/>
          <w:sz w:val="28"/>
          <w:szCs w:val="28"/>
        </w:rPr>
        <w:t>3</w:t>
      </w:r>
      <w:r>
        <w:rPr>
          <w:bCs/>
          <w:position w:val="-2"/>
          <w:sz w:val="28"/>
          <w:szCs w:val="28"/>
        </w:rPr>
        <w:t>c</w:t>
      </w:r>
      <w:r>
        <w:rPr>
          <w:bCs/>
          <w:sz w:val="28"/>
          <w:szCs w:val="28"/>
        </w:rPr>
        <w:t>──各楼层卫生</w:t>
      </w:r>
      <w:r>
        <w:rPr>
          <w:bCs/>
          <w:spacing w:val="-3"/>
          <w:sz w:val="28"/>
          <w:szCs w:val="28"/>
        </w:rPr>
        <w:t>间</w:t>
      </w:r>
      <w:r>
        <w:rPr>
          <w:bCs/>
          <w:sz w:val="28"/>
          <w:szCs w:val="28"/>
        </w:rPr>
        <w:t>墙面、顶面和地面采用干式工法的面积之和；</w:t>
      </w:r>
    </w:p>
    <w:p w14:paraId="12034F67">
      <w:pPr>
        <w:adjustRightInd w:val="0"/>
        <w:ind w:firstLine="556" w:firstLineChars="200"/>
        <w:rPr>
          <w:bCs/>
          <w:sz w:val="28"/>
          <w:szCs w:val="28"/>
        </w:rPr>
      </w:pPr>
      <w:r>
        <w:rPr>
          <w:i/>
          <w:spacing w:val="-1"/>
          <w:sz w:val="28"/>
          <w:szCs w:val="28"/>
        </w:rPr>
        <w:t>A</w:t>
      </w:r>
      <w:r>
        <w:rPr>
          <w:spacing w:val="1"/>
          <w:position w:val="-2"/>
          <w:sz w:val="28"/>
          <w:szCs w:val="28"/>
        </w:rPr>
        <w:t>b</w:t>
      </w:r>
      <w:r>
        <w:rPr>
          <w:i/>
          <w:spacing w:val="-1"/>
          <w:sz w:val="28"/>
          <w:szCs w:val="28"/>
        </w:rPr>
        <w:t>──</w:t>
      </w:r>
      <w:r>
        <w:rPr>
          <w:sz w:val="28"/>
          <w:szCs w:val="28"/>
        </w:rPr>
        <w:t>各楼层卫生间</w:t>
      </w:r>
      <w:r>
        <w:rPr>
          <w:spacing w:val="-3"/>
          <w:sz w:val="28"/>
          <w:szCs w:val="28"/>
        </w:rPr>
        <w:t>墙</w:t>
      </w:r>
      <w:r>
        <w:rPr>
          <w:sz w:val="28"/>
          <w:szCs w:val="28"/>
        </w:rPr>
        <w:t>面、顶面和地面的总面积。</w:t>
      </w:r>
    </w:p>
    <w:p w14:paraId="264C39FC">
      <w:pPr>
        <w:adjustRightInd w:val="0"/>
        <w:ind w:firstLine="560" w:firstLineChars="200"/>
        <w:rPr>
          <w:bCs/>
          <w:sz w:val="28"/>
          <w:szCs w:val="28"/>
        </w:rPr>
      </w:pPr>
      <w:r>
        <w:rPr>
          <w:bCs/>
          <w:sz w:val="28"/>
          <w:szCs w:val="28"/>
        </w:rPr>
        <w:t>5.管线分离的应用比例计算：</w:t>
      </w:r>
    </w:p>
    <w:p w14:paraId="245692B1">
      <w:pPr>
        <w:tabs>
          <w:tab w:val="left" w:pos="7384"/>
        </w:tabs>
        <w:adjustRightInd w:val="0"/>
        <w:ind w:left="3223"/>
        <w:rPr>
          <w:sz w:val="28"/>
          <w:szCs w:val="28"/>
        </w:rPr>
      </w:pPr>
      <w:r>
        <w:rPr>
          <w:i/>
          <w:sz w:val="28"/>
          <w:szCs w:val="28"/>
        </w:rPr>
        <w:t>q</w:t>
      </w:r>
      <w:r>
        <w:rPr>
          <w:spacing w:val="1"/>
          <w:position w:val="-2"/>
          <w:sz w:val="28"/>
          <w:szCs w:val="28"/>
        </w:rPr>
        <w:t>3d</w:t>
      </w:r>
      <w:r>
        <w:rPr>
          <w:spacing w:val="-1"/>
          <w:sz w:val="28"/>
          <w:szCs w:val="28"/>
        </w:rPr>
        <w:t>=</w:t>
      </w:r>
      <w:r>
        <w:rPr>
          <w:i/>
          <w:spacing w:val="-2"/>
          <w:sz w:val="28"/>
          <w:szCs w:val="28"/>
        </w:rPr>
        <w:t>L</w:t>
      </w:r>
      <w:r>
        <w:rPr>
          <w:spacing w:val="-2"/>
          <w:position w:val="-2"/>
          <w:sz w:val="28"/>
          <w:szCs w:val="28"/>
        </w:rPr>
        <w:t>3</w:t>
      </w:r>
      <w:r>
        <w:rPr>
          <w:spacing w:val="1"/>
          <w:position w:val="-2"/>
          <w:sz w:val="28"/>
          <w:szCs w:val="28"/>
        </w:rPr>
        <w:t>d</w:t>
      </w:r>
      <w:r>
        <w:rPr>
          <w:sz w:val="28"/>
          <w:szCs w:val="28"/>
        </w:rPr>
        <w:t>/</w:t>
      </w:r>
      <w:r>
        <w:rPr>
          <w:i/>
          <w:sz w:val="28"/>
          <w:szCs w:val="28"/>
        </w:rPr>
        <w:t>L</w:t>
      </w:r>
      <w:r>
        <w:rPr>
          <w:sz w:val="28"/>
          <w:szCs w:val="28"/>
        </w:rPr>
        <w:t>×100%</w:t>
      </w:r>
      <w:r>
        <w:rPr>
          <w:sz w:val="28"/>
          <w:szCs w:val="28"/>
        </w:rPr>
        <w:tab/>
      </w:r>
    </w:p>
    <w:p w14:paraId="4D6FA3FF">
      <w:pPr>
        <w:adjustRightInd w:val="0"/>
        <w:ind w:firstLine="560" w:firstLineChars="200"/>
        <w:rPr>
          <w:bCs/>
          <w:sz w:val="28"/>
          <w:szCs w:val="28"/>
        </w:rPr>
      </w:pPr>
      <w:r>
        <w:rPr>
          <w:bCs/>
          <w:sz w:val="28"/>
          <w:szCs w:val="28"/>
        </w:rPr>
        <w:t>式中：</w:t>
      </w:r>
      <w:r>
        <w:rPr>
          <w:bCs/>
          <w:i/>
          <w:sz w:val="28"/>
          <w:szCs w:val="28"/>
        </w:rPr>
        <w:t>q</w:t>
      </w:r>
      <w:r>
        <w:rPr>
          <w:bCs/>
          <w:spacing w:val="1"/>
          <w:position w:val="-2"/>
          <w:sz w:val="28"/>
          <w:szCs w:val="28"/>
        </w:rPr>
        <w:t>3d</w:t>
      </w:r>
      <w:r>
        <w:rPr>
          <w:bCs/>
          <w:sz w:val="28"/>
          <w:szCs w:val="28"/>
        </w:rPr>
        <w:t>──管线分</w:t>
      </w:r>
      <w:r>
        <w:rPr>
          <w:bCs/>
          <w:spacing w:val="-3"/>
          <w:sz w:val="28"/>
          <w:szCs w:val="28"/>
        </w:rPr>
        <w:t>离</w:t>
      </w:r>
      <w:r>
        <w:rPr>
          <w:bCs/>
          <w:sz w:val="28"/>
          <w:szCs w:val="28"/>
        </w:rPr>
        <w:t>比例；</w:t>
      </w:r>
    </w:p>
    <w:p w14:paraId="7551BDC7">
      <w:pPr>
        <w:adjustRightInd w:val="0"/>
        <w:ind w:right="112" w:firstLine="560" w:firstLineChars="200"/>
        <w:rPr>
          <w:bCs/>
          <w:sz w:val="28"/>
          <w:szCs w:val="28"/>
        </w:rPr>
      </w:pPr>
      <w:r>
        <w:rPr>
          <w:bCs/>
          <w:i/>
          <w:sz w:val="28"/>
          <w:szCs w:val="28"/>
        </w:rPr>
        <w:t>L</w:t>
      </w:r>
      <w:r>
        <w:rPr>
          <w:bCs/>
          <w:spacing w:val="-2"/>
          <w:position w:val="-2"/>
          <w:sz w:val="28"/>
          <w:szCs w:val="28"/>
        </w:rPr>
        <w:t>3</w:t>
      </w:r>
      <w:r>
        <w:rPr>
          <w:bCs/>
          <w:spacing w:val="3"/>
          <w:position w:val="-2"/>
          <w:sz w:val="28"/>
          <w:szCs w:val="28"/>
        </w:rPr>
        <w:t>d</w:t>
      </w:r>
      <w:r>
        <w:rPr>
          <w:bCs/>
          <w:spacing w:val="4"/>
          <w:sz w:val="28"/>
          <w:szCs w:val="28"/>
        </w:rPr>
        <w:t>─</w:t>
      </w:r>
      <w:r>
        <w:rPr>
          <w:bCs/>
          <w:spacing w:val="2"/>
          <w:sz w:val="28"/>
          <w:szCs w:val="28"/>
        </w:rPr>
        <w:t>─</w:t>
      </w:r>
      <w:r>
        <w:rPr>
          <w:bCs/>
          <w:spacing w:val="4"/>
          <w:sz w:val="28"/>
          <w:szCs w:val="28"/>
        </w:rPr>
        <w:t>各楼</w:t>
      </w:r>
      <w:r>
        <w:rPr>
          <w:bCs/>
          <w:spacing w:val="2"/>
          <w:sz w:val="28"/>
          <w:szCs w:val="28"/>
        </w:rPr>
        <w:t>层</w:t>
      </w:r>
      <w:r>
        <w:rPr>
          <w:bCs/>
          <w:spacing w:val="4"/>
          <w:sz w:val="28"/>
          <w:szCs w:val="28"/>
        </w:rPr>
        <w:t>管</w:t>
      </w:r>
      <w:r>
        <w:rPr>
          <w:bCs/>
          <w:spacing w:val="2"/>
          <w:sz w:val="28"/>
          <w:szCs w:val="28"/>
        </w:rPr>
        <w:t>线分</w:t>
      </w:r>
      <w:r>
        <w:rPr>
          <w:bCs/>
          <w:spacing w:val="4"/>
          <w:sz w:val="28"/>
          <w:szCs w:val="28"/>
        </w:rPr>
        <w:t>离的</w:t>
      </w:r>
      <w:r>
        <w:rPr>
          <w:bCs/>
          <w:spacing w:val="2"/>
          <w:sz w:val="28"/>
          <w:szCs w:val="28"/>
        </w:rPr>
        <w:t>长</w:t>
      </w:r>
      <w:r>
        <w:rPr>
          <w:bCs/>
          <w:spacing w:val="4"/>
          <w:sz w:val="28"/>
          <w:szCs w:val="28"/>
        </w:rPr>
        <w:t>度</w:t>
      </w:r>
      <w:r>
        <w:rPr>
          <w:bCs/>
          <w:spacing w:val="2"/>
          <w:sz w:val="28"/>
          <w:szCs w:val="28"/>
        </w:rPr>
        <w:t>，</w:t>
      </w:r>
      <w:r>
        <w:rPr>
          <w:bCs/>
          <w:spacing w:val="4"/>
          <w:sz w:val="28"/>
          <w:szCs w:val="28"/>
        </w:rPr>
        <w:t>包</w:t>
      </w:r>
      <w:r>
        <w:rPr>
          <w:bCs/>
          <w:spacing w:val="2"/>
          <w:sz w:val="28"/>
          <w:szCs w:val="28"/>
        </w:rPr>
        <w:t>括</w:t>
      </w:r>
      <w:r>
        <w:rPr>
          <w:bCs/>
          <w:spacing w:val="4"/>
          <w:sz w:val="28"/>
          <w:szCs w:val="28"/>
        </w:rPr>
        <w:t>裸</w:t>
      </w:r>
      <w:r>
        <w:rPr>
          <w:bCs/>
          <w:spacing w:val="2"/>
          <w:sz w:val="28"/>
          <w:szCs w:val="28"/>
        </w:rPr>
        <w:t>露于</w:t>
      </w:r>
      <w:r>
        <w:rPr>
          <w:bCs/>
          <w:spacing w:val="4"/>
          <w:sz w:val="28"/>
          <w:szCs w:val="28"/>
        </w:rPr>
        <w:t>室内</w:t>
      </w:r>
      <w:r>
        <w:rPr>
          <w:bCs/>
          <w:spacing w:val="2"/>
          <w:sz w:val="28"/>
          <w:szCs w:val="28"/>
        </w:rPr>
        <w:t>空</w:t>
      </w:r>
      <w:r>
        <w:rPr>
          <w:bCs/>
          <w:spacing w:val="4"/>
          <w:sz w:val="28"/>
          <w:szCs w:val="28"/>
        </w:rPr>
        <w:t>间</w:t>
      </w:r>
      <w:r>
        <w:rPr>
          <w:bCs/>
          <w:spacing w:val="2"/>
          <w:sz w:val="28"/>
          <w:szCs w:val="28"/>
        </w:rPr>
        <w:t>以</w:t>
      </w:r>
      <w:r>
        <w:rPr>
          <w:bCs/>
          <w:spacing w:val="4"/>
          <w:sz w:val="28"/>
          <w:szCs w:val="28"/>
        </w:rPr>
        <w:t>及</w:t>
      </w:r>
      <w:r>
        <w:rPr>
          <w:bCs/>
          <w:spacing w:val="2"/>
          <w:sz w:val="28"/>
          <w:szCs w:val="28"/>
        </w:rPr>
        <w:t>敷</w:t>
      </w:r>
      <w:r>
        <w:rPr>
          <w:bCs/>
          <w:spacing w:val="4"/>
          <w:sz w:val="28"/>
          <w:szCs w:val="28"/>
        </w:rPr>
        <w:t>设</w:t>
      </w:r>
      <w:r>
        <w:rPr>
          <w:bCs/>
          <w:spacing w:val="2"/>
          <w:sz w:val="28"/>
          <w:szCs w:val="28"/>
        </w:rPr>
        <w:t>在地</w:t>
      </w:r>
      <w:r>
        <w:rPr>
          <w:bCs/>
          <w:spacing w:val="4"/>
          <w:sz w:val="28"/>
          <w:szCs w:val="28"/>
        </w:rPr>
        <w:t>面</w:t>
      </w:r>
      <w:r>
        <w:rPr>
          <w:bCs/>
          <w:sz w:val="28"/>
          <w:szCs w:val="28"/>
        </w:rPr>
        <w:t xml:space="preserve">架 </w:t>
      </w:r>
      <w:r>
        <w:rPr>
          <w:bCs/>
          <w:spacing w:val="2"/>
          <w:sz w:val="28"/>
          <w:szCs w:val="28"/>
        </w:rPr>
        <w:t>空层</w:t>
      </w:r>
      <w:r>
        <w:rPr>
          <w:bCs/>
          <w:sz w:val="28"/>
          <w:szCs w:val="28"/>
        </w:rPr>
        <w:t>、</w:t>
      </w:r>
      <w:r>
        <w:rPr>
          <w:bCs/>
          <w:spacing w:val="2"/>
          <w:sz w:val="28"/>
          <w:szCs w:val="28"/>
        </w:rPr>
        <w:t>非</w:t>
      </w:r>
      <w:r>
        <w:rPr>
          <w:bCs/>
          <w:sz w:val="28"/>
          <w:szCs w:val="28"/>
        </w:rPr>
        <w:t>承</w:t>
      </w:r>
      <w:r>
        <w:rPr>
          <w:bCs/>
          <w:spacing w:val="2"/>
          <w:sz w:val="28"/>
          <w:szCs w:val="28"/>
        </w:rPr>
        <w:t>重</w:t>
      </w:r>
      <w:r>
        <w:rPr>
          <w:bCs/>
          <w:sz w:val="28"/>
          <w:szCs w:val="28"/>
        </w:rPr>
        <w:t>墙</w:t>
      </w:r>
      <w:r>
        <w:rPr>
          <w:bCs/>
          <w:spacing w:val="2"/>
          <w:sz w:val="28"/>
          <w:szCs w:val="28"/>
        </w:rPr>
        <w:t>体</w:t>
      </w:r>
      <w:r>
        <w:rPr>
          <w:bCs/>
          <w:sz w:val="28"/>
          <w:szCs w:val="28"/>
        </w:rPr>
        <w:t>空腔</w:t>
      </w:r>
      <w:r>
        <w:rPr>
          <w:bCs/>
          <w:spacing w:val="2"/>
          <w:sz w:val="28"/>
          <w:szCs w:val="28"/>
        </w:rPr>
        <w:t>和吊</w:t>
      </w:r>
      <w:r>
        <w:rPr>
          <w:bCs/>
          <w:sz w:val="28"/>
          <w:szCs w:val="28"/>
        </w:rPr>
        <w:t>顶</w:t>
      </w:r>
      <w:r>
        <w:rPr>
          <w:bCs/>
          <w:spacing w:val="2"/>
          <w:sz w:val="28"/>
          <w:szCs w:val="28"/>
        </w:rPr>
        <w:t>内</w:t>
      </w:r>
      <w:r>
        <w:rPr>
          <w:bCs/>
          <w:spacing w:val="-1"/>
          <w:sz w:val="28"/>
          <w:szCs w:val="28"/>
        </w:rPr>
        <w:t>的</w:t>
      </w:r>
      <w:r>
        <w:rPr>
          <w:bCs/>
          <w:spacing w:val="2"/>
          <w:sz w:val="28"/>
          <w:szCs w:val="28"/>
        </w:rPr>
        <w:t>电</w:t>
      </w:r>
      <w:r>
        <w:rPr>
          <w:bCs/>
          <w:sz w:val="28"/>
          <w:szCs w:val="28"/>
        </w:rPr>
        <w:t>气</w:t>
      </w:r>
      <w:r>
        <w:rPr>
          <w:bCs/>
          <w:spacing w:val="2"/>
          <w:sz w:val="28"/>
          <w:szCs w:val="28"/>
        </w:rPr>
        <w:t>、</w:t>
      </w:r>
      <w:r>
        <w:rPr>
          <w:bCs/>
          <w:sz w:val="28"/>
          <w:szCs w:val="28"/>
        </w:rPr>
        <w:t>给水</w:t>
      </w:r>
      <w:r>
        <w:rPr>
          <w:bCs/>
          <w:spacing w:val="2"/>
          <w:sz w:val="28"/>
          <w:szCs w:val="28"/>
        </w:rPr>
        <w:t>、排</w:t>
      </w:r>
      <w:r>
        <w:rPr>
          <w:bCs/>
          <w:sz w:val="28"/>
          <w:szCs w:val="28"/>
        </w:rPr>
        <w:t>水</w:t>
      </w:r>
      <w:r>
        <w:rPr>
          <w:bCs/>
          <w:spacing w:val="2"/>
          <w:sz w:val="28"/>
          <w:szCs w:val="28"/>
        </w:rPr>
        <w:t>和</w:t>
      </w:r>
      <w:r>
        <w:rPr>
          <w:bCs/>
          <w:sz w:val="28"/>
          <w:szCs w:val="28"/>
        </w:rPr>
        <w:t>采</w:t>
      </w:r>
      <w:r>
        <w:rPr>
          <w:bCs/>
          <w:spacing w:val="2"/>
          <w:sz w:val="28"/>
          <w:szCs w:val="28"/>
        </w:rPr>
        <w:t>暖管线</w:t>
      </w:r>
      <w:r>
        <w:rPr>
          <w:bCs/>
          <w:sz w:val="28"/>
          <w:szCs w:val="28"/>
        </w:rPr>
        <w:t>长度之和；</w:t>
      </w:r>
    </w:p>
    <w:p w14:paraId="205E3883">
      <w:pPr>
        <w:adjustRightInd w:val="0"/>
        <w:ind w:firstLine="560" w:firstLineChars="200"/>
        <w:rPr>
          <w:bCs/>
          <w:sz w:val="28"/>
          <w:szCs w:val="28"/>
        </w:rPr>
      </w:pPr>
      <w:r>
        <w:rPr>
          <w:i/>
          <w:sz w:val="28"/>
          <w:szCs w:val="28"/>
        </w:rPr>
        <w:t>L</w:t>
      </w:r>
      <w:r>
        <w:rPr>
          <w:i/>
          <w:spacing w:val="-1"/>
          <w:sz w:val="28"/>
          <w:szCs w:val="28"/>
        </w:rPr>
        <w:t>──</w:t>
      </w:r>
      <w:r>
        <w:rPr>
          <w:sz w:val="28"/>
          <w:szCs w:val="28"/>
        </w:rPr>
        <w:t>各楼层电气、给水、排水和采暖管线的总长度。</w:t>
      </w:r>
    </w:p>
    <w:p w14:paraId="6BF171CB">
      <w:pPr>
        <w:adjustRightInd w:val="0"/>
        <w:ind w:firstLine="562" w:firstLineChars="200"/>
        <w:rPr>
          <w:b/>
          <w:bCs/>
          <w:sz w:val="28"/>
          <w:szCs w:val="28"/>
        </w:rPr>
      </w:pPr>
      <w:r>
        <w:rPr>
          <w:b/>
          <w:bCs/>
          <w:sz w:val="28"/>
          <w:szCs w:val="28"/>
        </w:rPr>
        <w:t xml:space="preserve">（四）项目中缺少项：Q4 </w:t>
      </w:r>
    </w:p>
    <w:p w14:paraId="48405115">
      <w:pPr>
        <w:pStyle w:val="2"/>
        <w:spacing w:after="0"/>
        <w:ind w:left="0" w:leftChars="0" w:firstLine="560" w:firstLineChars="200"/>
        <w:rPr>
          <w:sz w:val="28"/>
          <w:szCs w:val="28"/>
        </w:rPr>
      </w:pPr>
      <w:r>
        <w:rPr>
          <w:sz w:val="28"/>
          <w:szCs w:val="28"/>
        </w:rPr>
        <w:t>项目如出现缺少评价项，</w:t>
      </w:r>
      <w:r>
        <w:rPr>
          <w:rFonts w:hint="eastAsia"/>
          <w:sz w:val="28"/>
          <w:szCs w:val="28"/>
        </w:rPr>
        <w:t>应</w:t>
      </w:r>
      <w:r>
        <w:rPr>
          <w:sz w:val="28"/>
          <w:szCs w:val="28"/>
        </w:rPr>
        <w:t>说明</w:t>
      </w:r>
      <w:r>
        <w:rPr>
          <w:rFonts w:hint="eastAsia"/>
          <w:sz w:val="28"/>
          <w:szCs w:val="28"/>
        </w:rPr>
        <w:t>具体情况，</w:t>
      </w:r>
      <w:r>
        <w:rPr>
          <w:sz w:val="28"/>
          <w:szCs w:val="28"/>
        </w:rPr>
        <w:t>计算装配率时，分母可扣除相应评价分值。</w:t>
      </w:r>
    </w:p>
    <w:p w14:paraId="60737AC4">
      <w:pPr>
        <w:adjustRightInd w:val="0"/>
        <w:ind w:firstLine="562" w:firstLineChars="200"/>
        <w:rPr>
          <w:b/>
          <w:bCs/>
          <w:sz w:val="28"/>
          <w:szCs w:val="28"/>
        </w:rPr>
      </w:pPr>
      <w:r>
        <w:rPr>
          <w:b/>
          <w:bCs/>
          <w:sz w:val="28"/>
          <w:szCs w:val="28"/>
        </w:rPr>
        <w:t>（五）装配率计算</w:t>
      </w:r>
    </w:p>
    <w:p w14:paraId="18BA2951">
      <w:pPr>
        <w:tabs>
          <w:tab w:val="left" w:pos="7384"/>
        </w:tabs>
        <w:adjustRightInd w:val="0"/>
        <w:ind w:firstLine="2240" w:firstLineChars="800"/>
        <w:rPr>
          <w:i/>
          <w:sz w:val="28"/>
          <w:szCs w:val="28"/>
        </w:rPr>
      </w:pPr>
      <w:r>
        <w:rPr>
          <w:i/>
          <w:sz w:val="28"/>
          <w:szCs w:val="28"/>
        </w:rPr>
        <w:t>P =</w:t>
      </w:r>
      <w:r>
        <w:rPr>
          <w:rFonts w:hint="eastAsia"/>
          <w:i/>
          <w:sz w:val="28"/>
          <w:szCs w:val="28"/>
        </w:rPr>
        <w:t>(</w:t>
      </w:r>
      <w:r>
        <w:rPr>
          <w:i/>
          <w:sz w:val="28"/>
          <w:szCs w:val="28"/>
        </w:rPr>
        <w:t>Q1+Q2+Q3</w:t>
      </w:r>
      <w:r>
        <w:rPr>
          <w:rFonts w:hint="eastAsia"/>
          <w:i/>
          <w:sz w:val="28"/>
          <w:szCs w:val="28"/>
        </w:rPr>
        <w:t>)</w:t>
      </w:r>
      <w:r>
        <w:rPr>
          <w:i/>
          <w:sz w:val="28"/>
          <w:szCs w:val="28"/>
        </w:rPr>
        <w:t>/(100-Q4)x100%</w:t>
      </w:r>
    </w:p>
    <w:p w14:paraId="4C24D8A1">
      <w:pPr>
        <w:adjustRightInd w:val="0"/>
        <w:ind w:firstLine="578" w:firstLineChars="200"/>
        <w:rPr>
          <w:b/>
          <w:bCs/>
          <w:spacing w:val="4"/>
          <w:sz w:val="28"/>
          <w:szCs w:val="28"/>
        </w:rPr>
      </w:pPr>
      <w:r>
        <w:rPr>
          <w:b/>
          <w:bCs/>
          <w:spacing w:val="4"/>
          <w:sz w:val="28"/>
          <w:szCs w:val="28"/>
        </w:rPr>
        <w:t>式中：</w:t>
      </w:r>
    </w:p>
    <w:p w14:paraId="62A24E61">
      <w:pPr>
        <w:adjustRightInd w:val="0"/>
        <w:ind w:firstLine="576" w:firstLineChars="200"/>
        <w:rPr>
          <w:spacing w:val="4"/>
          <w:sz w:val="28"/>
          <w:szCs w:val="28"/>
        </w:rPr>
      </w:pPr>
      <w:r>
        <w:rPr>
          <w:spacing w:val="4"/>
          <w:sz w:val="28"/>
          <w:szCs w:val="28"/>
        </w:rPr>
        <w:t>P</w:t>
      </w:r>
      <w:r>
        <w:rPr>
          <w:i/>
          <w:spacing w:val="-1"/>
          <w:sz w:val="28"/>
          <w:szCs w:val="28"/>
        </w:rPr>
        <w:t>──</w:t>
      </w:r>
      <w:r>
        <w:rPr>
          <w:spacing w:val="4"/>
          <w:sz w:val="28"/>
          <w:szCs w:val="28"/>
        </w:rPr>
        <w:t>装配率；</w:t>
      </w:r>
    </w:p>
    <w:p w14:paraId="567B0523">
      <w:pPr>
        <w:adjustRightInd w:val="0"/>
        <w:ind w:firstLine="576" w:firstLineChars="200"/>
        <w:rPr>
          <w:spacing w:val="4"/>
          <w:sz w:val="28"/>
          <w:szCs w:val="28"/>
        </w:rPr>
      </w:pPr>
      <w:r>
        <w:rPr>
          <w:spacing w:val="4"/>
          <w:sz w:val="28"/>
          <w:szCs w:val="28"/>
        </w:rPr>
        <w:t>Q1</w:t>
      </w:r>
      <w:r>
        <w:rPr>
          <w:i/>
          <w:spacing w:val="-1"/>
          <w:sz w:val="28"/>
          <w:szCs w:val="28"/>
        </w:rPr>
        <w:t>──</w:t>
      </w:r>
      <w:r>
        <w:rPr>
          <w:spacing w:val="4"/>
          <w:sz w:val="28"/>
          <w:szCs w:val="28"/>
        </w:rPr>
        <w:t>主体结构指标实际得分值；</w:t>
      </w:r>
    </w:p>
    <w:p w14:paraId="2E2CFB7A">
      <w:pPr>
        <w:adjustRightInd w:val="0"/>
        <w:ind w:firstLine="576" w:firstLineChars="200"/>
        <w:rPr>
          <w:spacing w:val="4"/>
          <w:sz w:val="28"/>
          <w:szCs w:val="28"/>
        </w:rPr>
      </w:pPr>
      <w:r>
        <w:rPr>
          <w:spacing w:val="4"/>
          <w:sz w:val="28"/>
          <w:szCs w:val="28"/>
        </w:rPr>
        <w:t>Q2</w:t>
      </w:r>
      <w:r>
        <w:rPr>
          <w:i/>
          <w:spacing w:val="-1"/>
          <w:sz w:val="28"/>
          <w:szCs w:val="28"/>
        </w:rPr>
        <w:t>──</w:t>
      </w:r>
      <w:r>
        <w:rPr>
          <w:spacing w:val="4"/>
          <w:sz w:val="28"/>
          <w:szCs w:val="28"/>
        </w:rPr>
        <w:t>围护墙和内隔墙指标实际得分值；</w:t>
      </w:r>
    </w:p>
    <w:p w14:paraId="5DA0A70B">
      <w:pPr>
        <w:adjustRightInd w:val="0"/>
        <w:ind w:firstLine="576" w:firstLineChars="200"/>
        <w:rPr>
          <w:spacing w:val="4"/>
          <w:sz w:val="28"/>
          <w:szCs w:val="28"/>
        </w:rPr>
      </w:pPr>
      <w:r>
        <w:rPr>
          <w:spacing w:val="4"/>
          <w:sz w:val="28"/>
          <w:szCs w:val="28"/>
        </w:rPr>
        <w:t>Q3</w:t>
      </w:r>
      <w:r>
        <w:rPr>
          <w:i/>
          <w:spacing w:val="-1"/>
          <w:sz w:val="28"/>
          <w:szCs w:val="28"/>
        </w:rPr>
        <w:t>──</w:t>
      </w:r>
      <w:r>
        <w:rPr>
          <w:spacing w:val="4"/>
          <w:sz w:val="28"/>
          <w:szCs w:val="28"/>
        </w:rPr>
        <w:t>装修与设备管线指标实际得分值；</w:t>
      </w:r>
    </w:p>
    <w:p w14:paraId="36131C5C">
      <w:pPr>
        <w:adjustRightInd w:val="0"/>
        <w:ind w:firstLine="576" w:firstLineChars="200"/>
        <w:rPr>
          <w:spacing w:val="4"/>
          <w:sz w:val="28"/>
          <w:szCs w:val="28"/>
        </w:rPr>
      </w:pPr>
      <w:r>
        <w:rPr>
          <w:spacing w:val="4"/>
          <w:sz w:val="28"/>
          <w:szCs w:val="28"/>
        </w:rPr>
        <w:t>Q4</w:t>
      </w:r>
      <w:r>
        <w:rPr>
          <w:i/>
          <w:spacing w:val="-1"/>
          <w:sz w:val="28"/>
          <w:szCs w:val="28"/>
        </w:rPr>
        <w:t>──</w:t>
      </w:r>
      <w:r>
        <w:rPr>
          <w:spacing w:val="4"/>
          <w:sz w:val="28"/>
          <w:szCs w:val="28"/>
        </w:rPr>
        <w:t>评价项目中缺少的评价项分值总和。</w:t>
      </w:r>
    </w:p>
    <w:sectPr>
      <w:footerReference r:id="rId5" w:type="first"/>
      <w:footerReference r:id="rId3" w:type="default"/>
      <w:footerReference r:id="rId4" w:type="even"/>
      <w:pgSz w:w="11906" w:h="16838"/>
      <w:pgMar w:top="2098" w:right="1474" w:bottom="1985" w:left="1588" w:header="851" w:footer="141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A946A">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1"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14:paraId="2B3D4AE2">
                          <w:pPr>
                            <w:pStyle w:val="7"/>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D2TH3RAAAAAwEAAA8AAAAAAAAAAQAgAAAAIgAAAGRycy9kb3du&#10;cmV2LnhtbFBLAQIUABQAAAAIAIdO4kBd8U+5zQEAAJgDAAAOAAAAAAAAAAEAIAAAACABAABkcnMv&#10;ZTJvRG9jLnhtbFBLBQYAAAAABgAGAFkBAABfBQAAAAA=&#10;">
              <v:fill on="f" focussize="0,0"/>
              <v:stroke on="f"/>
              <v:imagedata o:title=""/>
              <o:lock v:ext="edit" aspectratio="f"/>
              <v:textbox inset="0mm,0mm,0mm,0mm" style="mso-fit-shape-to-text:t;">
                <w:txbxContent>
                  <w:p w14:paraId="2B3D4AE2">
                    <w:pPr>
                      <w:pStyle w:val="7"/>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18A18">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18415" b="508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704A162">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5LsAsYBAACd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cU&#10;I4F6jxXV3XuqjMM7GKh4jiMFE++hDTZ9iRGjPMl7vsqrhshkurRerdclpSTlZofwi4frPmB8r8Cy&#10;ZNQ80PtlWcXpI8axdC5J3RzcaWPyGxr3T4Awx4jKSzDdTkzGiZMVh/0w0dtDcyZ2PS1CzR3tPWfm&#10;gyOd087MRpiN/WSkjuhvj5HGyNMl1BGKWCWHXi3zmzYsrcVjP1c9/FX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bkuwCxgEAAJ0DAAAOAAAAAAAAAAEAIAAAAB4BAABkcnMvZTJvRG9jLnht&#10;bFBLBQYAAAAABgAGAFkBAABWBQAAAAA=&#10;">
              <v:fill on="f" focussize="0,0"/>
              <v:stroke on="f"/>
              <v:imagedata o:title=""/>
              <o:lock v:ext="edit" aspectratio="f"/>
              <v:textbox inset="0mm,0mm,0mm,0mm" style="mso-fit-shape-to-text:t;">
                <w:txbxContent>
                  <w:p w14:paraId="2704A162">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24467">
    <w:pPr>
      <w:pStyle w:val="7"/>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21615"/>
              <wp:effectExtent l="0" t="0" r="0" b="0"/>
              <wp:wrapNone/>
              <wp:docPr id="2" name="文本框 9"/>
              <wp:cNvGraphicFramePr/>
              <a:graphic xmlns:a="http://schemas.openxmlformats.org/drawingml/2006/main">
                <a:graphicData uri="http://schemas.microsoft.com/office/word/2010/wordprocessingShape">
                  <wps:wsp>
                    <wps:cNvSpPr txBox="1"/>
                    <wps:spPr>
                      <a:xfrm>
                        <a:off x="0" y="0"/>
                        <a:ext cx="445135" cy="221615"/>
                      </a:xfrm>
                      <a:prstGeom prst="rect">
                        <a:avLst/>
                      </a:prstGeom>
                      <a:noFill/>
                      <a:ln>
                        <a:noFill/>
                      </a:ln>
                    </wps:spPr>
                    <wps:txbx>
                      <w:txbxContent>
                        <w:p w14:paraId="5D11ECB8">
                          <w:pPr>
                            <w:pStyle w:val="7"/>
                            <w:rPr>
                              <w:rFonts w:eastAsia="宋体"/>
                              <w:sz w:val="28"/>
                              <w:szCs w:val="28"/>
                            </w:rPr>
                          </w:pPr>
                          <w:r>
                            <w:rPr>
                              <w:rFonts w:eastAsia="宋体"/>
                              <w:sz w:val="28"/>
                              <w:szCs w:val="28"/>
                            </w:rPr>
                            <w:t>—</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eastAsia="宋体"/>
                              <w:sz w:val="28"/>
                              <w:szCs w:val="28"/>
                            </w:rPr>
                            <w:t>—</w:t>
                          </w:r>
                        </w:p>
                      </w:txbxContent>
                    </wps:txbx>
                    <wps:bodyPr wrap="none" lIns="0" tIns="0" rIns="0" bIns="0" upright="1">
                      <a:noAutofit/>
                    </wps:bodyPr>
                  </wps:wsp>
                </a:graphicData>
              </a:graphic>
            </wp:anchor>
          </w:drawing>
        </mc:Choice>
        <mc:Fallback>
          <w:pict>
            <v:shape id="文本框 9" o:spid="_x0000_s1026" o:spt="202" type="#_x0000_t202" style="position:absolute;left:0pt;margin-top:0pt;height:17.45pt;width:35.05pt;mso-position-horizontal:outside;mso-position-horizontal-relative:margin;mso-wrap-style:none;z-index:251661312;mso-width-relative:page;mso-height-relative:page;" filled="f" stroked="f" coordsize="21600,21600" o:gfxdata="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JID9IAAAADAQAADwAAAAAAAAABACAAAAAiAAAAZHJzL2Rv&#10;d25yZXYueG1sUEsBAhQAFAAAAAgAh07iQOxzIIvOAQAAlwMAAA4AAAAAAAAAAQAgAAAAIQEAAGRy&#10;cy9lMm9Eb2MueG1sUEsFBgAAAAAGAAYAWQEAAGEFAAAAAA==&#10;">
              <v:fill on="f" focussize="0,0"/>
              <v:stroke on="f"/>
              <v:imagedata o:title=""/>
              <o:lock v:ext="edit" aspectratio="f"/>
              <v:textbox inset="0mm,0mm,0mm,0mm">
                <w:txbxContent>
                  <w:p w14:paraId="5D11ECB8">
                    <w:pPr>
                      <w:pStyle w:val="7"/>
                      <w:rPr>
                        <w:rFonts w:eastAsia="宋体"/>
                        <w:sz w:val="28"/>
                        <w:szCs w:val="28"/>
                      </w:rPr>
                    </w:pPr>
                    <w:r>
                      <w:rPr>
                        <w:rFonts w:eastAsia="宋体"/>
                        <w:sz w:val="28"/>
                        <w:szCs w:val="28"/>
                      </w:rPr>
                      <w:t>—</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eastAsia="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4N2U0YjQ0M2I4OWQwNjYwYTg1YTkwYjFkNTI5MjAifQ=="/>
  </w:docVars>
  <w:rsids>
    <w:rsidRoot w:val="00274644"/>
    <w:rsid w:val="000305B3"/>
    <w:rsid w:val="00044C3A"/>
    <w:rsid w:val="00052651"/>
    <w:rsid w:val="000729D1"/>
    <w:rsid w:val="00084634"/>
    <w:rsid w:val="000E4C1A"/>
    <w:rsid w:val="000F28FF"/>
    <w:rsid w:val="00133721"/>
    <w:rsid w:val="0017079C"/>
    <w:rsid w:val="00172067"/>
    <w:rsid w:val="001A51BF"/>
    <w:rsid w:val="001B44A5"/>
    <w:rsid w:val="00213515"/>
    <w:rsid w:val="00231220"/>
    <w:rsid w:val="002417BD"/>
    <w:rsid w:val="00274644"/>
    <w:rsid w:val="002A09B1"/>
    <w:rsid w:val="0034659C"/>
    <w:rsid w:val="00351BE1"/>
    <w:rsid w:val="00397B10"/>
    <w:rsid w:val="003A405F"/>
    <w:rsid w:val="003D440D"/>
    <w:rsid w:val="003D5178"/>
    <w:rsid w:val="003E0B88"/>
    <w:rsid w:val="00452C76"/>
    <w:rsid w:val="0046521B"/>
    <w:rsid w:val="00472D65"/>
    <w:rsid w:val="00484709"/>
    <w:rsid w:val="004B6C46"/>
    <w:rsid w:val="004D392A"/>
    <w:rsid w:val="004F7E92"/>
    <w:rsid w:val="00580774"/>
    <w:rsid w:val="00583869"/>
    <w:rsid w:val="005A057C"/>
    <w:rsid w:val="005A69E7"/>
    <w:rsid w:val="005B7F46"/>
    <w:rsid w:val="005F6704"/>
    <w:rsid w:val="00671D59"/>
    <w:rsid w:val="006C16C9"/>
    <w:rsid w:val="006F52A0"/>
    <w:rsid w:val="007D708A"/>
    <w:rsid w:val="00802CA3"/>
    <w:rsid w:val="00806FF2"/>
    <w:rsid w:val="0081071E"/>
    <w:rsid w:val="008135FB"/>
    <w:rsid w:val="00814A4E"/>
    <w:rsid w:val="00822E36"/>
    <w:rsid w:val="008455B8"/>
    <w:rsid w:val="00865479"/>
    <w:rsid w:val="00883E4F"/>
    <w:rsid w:val="008D1DDB"/>
    <w:rsid w:val="008F738C"/>
    <w:rsid w:val="009135E2"/>
    <w:rsid w:val="00924FCC"/>
    <w:rsid w:val="00987330"/>
    <w:rsid w:val="009A57D3"/>
    <w:rsid w:val="009C5A52"/>
    <w:rsid w:val="00A30642"/>
    <w:rsid w:val="00A35CF3"/>
    <w:rsid w:val="00A46426"/>
    <w:rsid w:val="00A94299"/>
    <w:rsid w:val="00AB77C0"/>
    <w:rsid w:val="00AF621A"/>
    <w:rsid w:val="00B10C69"/>
    <w:rsid w:val="00B51BBF"/>
    <w:rsid w:val="00B77FC6"/>
    <w:rsid w:val="00C13A8A"/>
    <w:rsid w:val="00C13E7E"/>
    <w:rsid w:val="00C40797"/>
    <w:rsid w:val="00C83594"/>
    <w:rsid w:val="00CC03E1"/>
    <w:rsid w:val="00CE43D7"/>
    <w:rsid w:val="00D42831"/>
    <w:rsid w:val="00D42936"/>
    <w:rsid w:val="00D66E32"/>
    <w:rsid w:val="00DA3572"/>
    <w:rsid w:val="00DB28D7"/>
    <w:rsid w:val="00DF6ADD"/>
    <w:rsid w:val="00E03DA7"/>
    <w:rsid w:val="00EA2AA9"/>
    <w:rsid w:val="00EF38BE"/>
    <w:rsid w:val="00F47D8F"/>
    <w:rsid w:val="00F81FC7"/>
    <w:rsid w:val="00F8772D"/>
    <w:rsid w:val="00FE2D21"/>
    <w:rsid w:val="00FF0DBD"/>
    <w:rsid w:val="022267B7"/>
    <w:rsid w:val="07A9580E"/>
    <w:rsid w:val="08CE609D"/>
    <w:rsid w:val="0A347112"/>
    <w:rsid w:val="0BFF5A10"/>
    <w:rsid w:val="0CA973EE"/>
    <w:rsid w:val="0DE4745F"/>
    <w:rsid w:val="0DEA3A2C"/>
    <w:rsid w:val="10AD5324"/>
    <w:rsid w:val="11E22A37"/>
    <w:rsid w:val="123366C6"/>
    <w:rsid w:val="1331204B"/>
    <w:rsid w:val="13B049D8"/>
    <w:rsid w:val="17ED0EBA"/>
    <w:rsid w:val="195B32BB"/>
    <w:rsid w:val="210669F8"/>
    <w:rsid w:val="26E52AD8"/>
    <w:rsid w:val="26FF4187"/>
    <w:rsid w:val="27141DEC"/>
    <w:rsid w:val="28436D6C"/>
    <w:rsid w:val="2A3A4C8A"/>
    <w:rsid w:val="2E910ED4"/>
    <w:rsid w:val="308B0E17"/>
    <w:rsid w:val="3BE74D4E"/>
    <w:rsid w:val="3BF641FF"/>
    <w:rsid w:val="3DA54918"/>
    <w:rsid w:val="4706505D"/>
    <w:rsid w:val="4B3F7B6D"/>
    <w:rsid w:val="51E97071"/>
    <w:rsid w:val="549438E4"/>
    <w:rsid w:val="57566D0F"/>
    <w:rsid w:val="5B3F3CF5"/>
    <w:rsid w:val="5F83370F"/>
    <w:rsid w:val="60E23E2F"/>
    <w:rsid w:val="689911C7"/>
    <w:rsid w:val="69933EB0"/>
    <w:rsid w:val="6E46675F"/>
    <w:rsid w:val="6E6E0436"/>
    <w:rsid w:val="700370F8"/>
    <w:rsid w:val="70F860A8"/>
    <w:rsid w:val="727300DF"/>
    <w:rsid w:val="7F141F72"/>
    <w:rsid w:val="7FB72299"/>
    <w:rsid w:val="7FDD55B6"/>
    <w:rsid w:val="7FFDF9E6"/>
    <w:rsid w:val="F5559B45"/>
    <w:rsid w:val="FBF93D0A"/>
    <w:rsid w:val="FFFE3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qFormat/>
    <w:uiPriority w:val="9"/>
    <w:pPr>
      <w:spacing w:before="100" w:beforeAutospacing="1" w:after="100" w:afterAutospacing="1"/>
      <w:jc w:val="left"/>
      <w:outlineLvl w:val="1"/>
    </w:pPr>
    <w:rPr>
      <w:rFonts w:hint="eastAsia" w:ascii="宋体" w:hAnsi="宋体" w:eastAsia="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alloon Text"/>
    <w:basedOn w:val="1"/>
    <w:link w:val="15"/>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annotation reference"/>
    <w:basedOn w:val="12"/>
    <w:qFormat/>
    <w:uiPriority w:val="0"/>
    <w:rPr>
      <w:sz w:val="21"/>
      <w:szCs w:val="21"/>
    </w:rPr>
  </w:style>
  <w:style w:type="character" w:customStyle="1" w:styleId="15">
    <w:name w:val="批注框文本 Char"/>
    <w:basedOn w:val="12"/>
    <w:link w:val="6"/>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399</Words>
  <Characters>2278</Characters>
  <Lines>18</Lines>
  <Paragraphs>5</Paragraphs>
  <TotalTime>0</TotalTime>
  <ScaleCrop>false</ScaleCrop>
  <LinksUpToDate>false</LinksUpToDate>
  <CharactersWithSpaces>2672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2024-12-05T16:31:00Z</dcterms:created>
  <dc:creator>刘武军</dc:creator>
  <cp:lastModifiedBy>DZH</cp:lastModifiedBy>
  <cp:lastPrinted>2024-11-13T18:03:00Z</cp:lastPrinted>
  <dcterms:modified xsi:type="dcterms:W3CDTF">2025-04-15T09:31:05Z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6C2224FD0337411890EBC56EEA76184F_13</vt:lpwstr>
  </property>
  <property fmtid="{D5CDD505-2E9C-101B-9397-08002B2CF9AE}" pid="4" name="KSOTemplateDocerSaveRecord">
    <vt:lpwstr>eyJoZGlkIjoiZDQ1YzhmNzdlZmE0Nzg3MzAzNzU4NWU5YmFmMTNmMDgiLCJ1c2VySWQiOiI0MzA5MjQyMjEifQ==</vt:lpwstr>
  </property>
</Properties>
</file>