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hint="eastAsia" w:ascii="方正小标宋简体" w:hAnsi="方正小标宋简体" w:eastAsia="方正小标宋简体"/>
          <w:color w:val="000000"/>
          <w:sz w:val="44"/>
          <w:szCs w:val="44"/>
          <w:lang w:eastAsia="zh-CN"/>
        </w:rPr>
      </w:pPr>
      <w:r>
        <w:rPr>
          <w:rFonts w:hint="eastAsia" w:ascii="方正小标宋简体" w:hAnsi="方正小标宋简体" w:eastAsia="方正小标宋简体"/>
          <w:color w:val="000000"/>
          <w:sz w:val="44"/>
          <w:szCs w:val="44"/>
        </w:rPr>
        <w:t>东莞市住房和城乡建设局2025年度“双随机、一公开”抽查工作计划</w:t>
      </w:r>
    </w:p>
    <w:p>
      <w:pPr>
        <w:jc w:val="center"/>
      </w:pPr>
    </w:p>
    <w:p>
      <w:pPr>
        <w:jc w:val="center"/>
      </w:pPr>
    </w:p>
    <w:tbl>
      <w:tblPr>
        <w:tblStyle w:val="2"/>
        <w:tblW w:w="15095"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autofit"/>
        <w:tblCellMar>
          <w:top w:w="0" w:type="dxa"/>
          <w:left w:w="108" w:type="dxa"/>
          <w:bottom w:w="0" w:type="dxa"/>
          <w:right w:w="108" w:type="dxa"/>
        </w:tblCellMar>
      </w:tblPr>
      <w:tblGrid>
        <w:gridCol w:w="843"/>
        <w:gridCol w:w="1385"/>
        <w:gridCol w:w="1443"/>
        <w:gridCol w:w="1956"/>
        <w:gridCol w:w="971"/>
        <w:gridCol w:w="1752"/>
        <w:gridCol w:w="1365"/>
        <w:gridCol w:w="3042"/>
        <w:gridCol w:w="1032"/>
        <w:gridCol w:w="1306"/>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185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序号</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抽查事项</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抽查任务名称</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检查对象及范围</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抽查对象数</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抽查比例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拟实施时间</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检查内容</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检查方式</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备注【市一级开展/市镇两级开展/镇一级开展】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建设工程施工图设计文件质量专项检查,对施工图审查机构监督检查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建设工程施工图设计文件质量专项检查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在莞承接业务的勘察、设计企业、施工图审查机构的施工图设计文件（含勘察文件）</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56</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总项目数的10%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2025年2月-11月</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检查勘察、设计单位是否按照法律法规、国家、省、市技术标准编制勘察、设计文件；检查施工</w:t>
            </w:r>
            <w:r>
              <w:rPr>
                <w:rFonts w:hint="eastAsia" w:ascii="仿宋_GB2312" w:eastAsia="仿宋_GB2312" w:cs="仿宋_GB2312"/>
                <w:i w:val="0"/>
                <w:iCs w:val="0"/>
                <w:color w:val="000000"/>
                <w:kern w:val="0"/>
                <w:sz w:val="24"/>
                <w:szCs w:val="24"/>
                <w:u w:val="none"/>
                <w:lang w:val="en-US" w:eastAsia="zh-CN" w:bidi="ar"/>
              </w:rPr>
              <w:t>图</w:t>
            </w:r>
            <w:r>
              <w:rPr>
                <w:rFonts w:hint="eastAsia" w:ascii="仿宋_GB2312" w:hAnsi="宋体" w:eastAsia="仿宋_GB2312" w:cs="仿宋_GB2312"/>
                <w:i w:val="0"/>
                <w:iCs w:val="0"/>
                <w:color w:val="000000"/>
                <w:kern w:val="0"/>
                <w:sz w:val="24"/>
                <w:szCs w:val="24"/>
                <w:u w:val="none"/>
                <w:lang w:val="en-US" w:eastAsia="zh-CN" w:bidi="ar"/>
              </w:rPr>
              <w:t>审查机构是否按照法律法规、国家、省、市技术标准对勘察、设计文件开展施工</w:t>
            </w:r>
            <w:r>
              <w:rPr>
                <w:rFonts w:hint="eastAsia" w:ascii="仿宋_GB2312" w:eastAsia="仿宋_GB2312" w:cs="仿宋_GB2312"/>
                <w:i w:val="0"/>
                <w:iCs w:val="0"/>
                <w:color w:val="000000"/>
                <w:kern w:val="0"/>
                <w:sz w:val="24"/>
                <w:szCs w:val="24"/>
                <w:u w:val="none"/>
                <w:lang w:val="en-US" w:eastAsia="zh-CN" w:bidi="ar"/>
              </w:rPr>
              <w:t>图</w:t>
            </w:r>
            <w:bookmarkStart w:id="0" w:name="_GoBack"/>
            <w:bookmarkEnd w:id="0"/>
            <w:r>
              <w:rPr>
                <w:rFonts w:hint="eastAsia" w:ascii="仿宋_GB2312" w:hAnsi="宋体" w:eastAsia="仿宋_GB2312" w:cs="仿宋_GB2312"/>
                <w:i w:val="0"/>
                <w:iCs w:val="0"/>
                <w:color w:val="000000"/>
                <w:kern w:val="0"/>
                <w:sz w:val="24"/>
                <w:szCs w:val="24"/>
                <w:u w:val="none"/>
                <w:lang w:val="en-US" w:eastAsia="zh-CN" w:bidi="ar"/>
              </w:rPr>
              <w:t>审查。</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091"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房屋建筑和市政基础设施工程勘察现场作业执法检查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房屋建筑和市政基础设施工程勘察现场作业执法检查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工程勘察企业承接的勘察项目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本年度内有受监建设项目的信用分100分及以上企业抽取15%，信用分90分及以上100分以下的企业抽取25%，信用分90分以下的企业抽取60%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2025年2月-11月</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检查勘察作业的勘察纲要等资料、人员配备情况、现场作业质量、原始记录情况及作业安全情况</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实地检查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全市建设工程质量检测机构检查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2025年上、下半年全市建设工程质量检测机构检查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通过市住建局资质核准取得资质证书，在我市承揽工程质量检测业务的检测机构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25</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2025年7月、12月</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检查各检测机构的人员资格、场地设施、仪器设备、样品管理、原始记录、检测报告、监管平台使用、检测视频录像、比对试验情况、检测数据真实性等对检测质量有重要影响的因素。</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市镇二级开展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482"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全市预拌混凝土生产企业质量安全检查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2025年上、下半年全市预拌混凝土生产企业质量安全检查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通过市住建局资质核准取得资质证书，在我市生产销售预拌混凝土的企业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2025年7月、12月</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检查各预拌混凝土生产企业的人员管理、原材料管理、试验室管理、生产过程控制、搅拌车管理及企业绿色生产管理、安全管理等对混凝土、砂浆质量有重要影响的因素。</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市镇二级开展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2"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房屋安全鉴定报告及现场检测质量抽查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房屋安全鉴定报告及现场检测质量抽查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房屋安全鉴定机构承接的鉴定项目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不少于48</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信用分大于等于100分的企业抽查20%，信用分小于100分且本年度有开展鉴定业务的企业抽取40%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房屋的实际层数、结构布置、主要构件尺寸等是否与鉴定报告相符，抽查检测项目、数量是否符合规范要求。结构计算的参数取值是否符合规范要求，抽查荷载取值是否与实际相符，鉴定结论是否全面、清晰，技术逻辑是否严密正确，论据是否充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实地检查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市镇二级开展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712"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房建市政工程招标项目检查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房建市政工程招标项目检查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在东莞市房建市政工程领域开展建设工程招标项目</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抽查32个项目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总项目数的10%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分两批次进行抽查，2025年7月、12月各抽取16个项目</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检查依法必须招标房屋市政项目的招标投标活动行为主体是否遵守法律、法规和有关管理规定等，重点关注招标文件编制、招标公告发布、资格审查、开标、评标、定标、异议答复、中标候选人公示和中标结果公开、招标投标情况书面报告等关键环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线上检查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7</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房屋市政工程质量安全监督检查，对取得施工许可证后条件发生变化、延期开工、中止施工等行为进行监督检查，对结建式人民防空工程防护部分建设质量的监督</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2025年上半年全市建设工程质量安全专项执法大检查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全市在建房屋建筑工程各方责任主体（主要是施工单位和监理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抽查约80个项目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抽查比例大概10%（以实际情况为准）其中，中高风险60%（近年有被发现存在重大事故隐患、被行政处罚、有生产安全事故、企业被多次约谈警示，工程存在较多隐患拒不整改的项目），低风险8%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全市受监在建房屋建筑及市政基础设施工程（包括截污管网工程、城市轨道交通工程、农民安居房工程、结建式人民防空工程防护部分等）、镇街（园区）负责监督的拆除工程、限额以下工程及既有建筑装修工程等质量安全，及取得施工许可证后条件发生变化、延期开工、中止施工等行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63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8</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房屋市政工程质量安全监督检查，对取得施工许可证后条件发生变化、延期开工、中止施工等行为进行监督检查，对结建式人民防空工程防护部分建设质量的监督</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2025年下半年（岁末年初）全市建设工程质量安全专项执法大检查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全市在建房屋建筑工程各方责任主体（主要是施工单位和监理</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单位）</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抽查约80个项目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抽查比例大概10%（以实际情况为准）其中，中高风险60%（近年有被发现存在重大事故隐患、被行政处罚、有生产安全事故、企业被多次约谈警示，工程存在较多隐患拒不整改的项目），低风险8%</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全市受监在建房屋建筑及市政基础设施工程（包括截污管网工程、城市轨道交通工程、农民安居房工程、结建式人民防空工程防护部分等）、镇街（园区）负责监督的拆除工程、限额以下工程及既有建筑装修工程等质量安全，及取得施工许可证后条件发生变化、延期开工、中止施工等行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403"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9</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对结建式人防工程土建、排水防涝、环境卫生等的日常维护管理进行监督检查（不包括：人防防护、防化等专用设备）</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对结建式人防工程土建、排水防涝、环境卫生等的日常维护管理进行监督检查（不包括：人防防护、防化等专用设备）</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结建式人防工程日常维护管理责任主体（主要是物业服务企业）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约70个项目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检查是否按照《广东省住房和城乡建设厅关于印发结建式人防工程土建排水防涝环境卫生等日常维护管理标准的通知》的标准进行维护管理</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市镇两级开展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3"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对物业服务企业管理活动的检查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对物业服务企业管理活动的检查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物业服务企业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约70个项目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依职责检查物业服务企业在物业管理区域内的相关管理活动情况</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auto"/>
                <w:sz w:val="24"/>
                <w:szCs w:val="24"/>
                <w:u w:val="none"/>
              </w:rPr>
            </w:pPr>
            <w:r>
              <w:rPr>
                <w:rFonts w:hint="eastAsia" w:ascii="仿宋_GB2312" w:hAnsi="宋体" w:eastAsia="仿宋_GB2312" w:cs="仿宋_GB2312"/>
                <w:i w:val="0"/>
                <w:iCs w:val="0"/>
                <w:color w:val="auto"/>
                <w:kern w:val="0"/>
                <w:sz w:val="24"/>
                <w:szCs w:val="24"/>
                <w:u w:val="none"/>
                <w:lang w:val="en-US" w:eastAsia="zh-CN" w:bidi="ar"/>
              </w:rPr>
              <w:t>市镇两级开展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kern w:val="0"/>
                <w:sz w:val="24"/>
                <w:szCs w:val="24"/>
                <w:u w:val="none"/>
                <w:lang w:val="en-US" w:eastAsia="zh-CN" w:bidi="ar"/>
              </w:rPr>
            </w:pPr>
            <w:r>
              <w:rPr>
                <w:rFonts w:hint="eastAsia" w:ascii="仿宋_GB2312" w:eastAsia="仿宋_GB2312" w:cs="仿宋_GB2312"/>
                <w:i w:val="0"/>
                <w:iCs w:val="0"/>
                <w:color w:val="000000"/>
                <w:kern w:val="0"/>
                <w:sz w:val="24"/>
                <w:szCs w:val="24"/>
                <w:u w:val="none"/>
                <w:lang w:val="en-US" w:eastAsia="zh-CN" w:bidi="ar"/>
              </w:rPr>
              <w:t>11</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对共有收益管理方规范共有收益管理的检查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对共有收益管理方规范共有收益管理的检查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共有收益管理方（主要是物业服务企业）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所有项目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检查共有收益管理方是否规范共有收益管理、公示共有收益收支情况，是否存在擅自利用小区公共部位经营、违规侵占小区公共收益行为。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书面检查、现场检查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kern w:val="0"/>
                <w:sz w:val="24"/>
                <w:szCs w:val="24"/>
                <w:u w:val="none"/>
                <w:lang w:val="en-US" w:eastAsia="zh-CN" w:bidi="ar"/>
              </w:rPr>
            </w:pPr>
            <w:r>
              <w:rPr>
                <w:rFonts w:hint="eastAsia" w:ascii="仿宋_GB2312" w:hAnsi="宋体" w:eastAsia="仿宋_GB2312" w:cs="仿宋_GB2312"/>
                <w:i w:val="0"/>
                <w:iCs w:val="0"/>
                <w:color w:val="000000"/>
                <w:kern w:val="0"/>
                <w:sz w:val="24"/>
                <w:szCs w:val="24"/>
                <w:u w:val="none"/>
                <w:lang w:val="en-US" w:eastAsia="zh-CN" w:bidi="ar"/>
              </w:rPr>
              <w:t>市镇两级开展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9"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default" w:ascii="仿宋_GB2312" w:hAnsi="宋体" w:eastAsia="仿宋_GB2312" w:cs="仿宋_GB2312"/>
                <w:i w:val="0"/>
                <w:iCs w:val="0"/>
                <w:color w:val="000000"/>
                <w:sz w:val="24"/>
                <w:szCs w:val="24"/>
                <w:u w:val="none"/>
                <w:lang w:val="en-US"/>
              </w:rPr>
            </w:pPr>
            <w:r>
              <w:rPr>
                <w:rFonts w:hint="eastAsia" w:ascii="仿宋_GB2312" w:eastAsia="仿宋_GB2312" w:cs="仿宋_GB2312"/>
                <w:i w:val="0"/>
                <w:iCs w:val="0"/>
                <w:color w:val="000000"/>
                <w:kern w:val="0"/>
                <w:sz w:val="24"/>
                <w:szCs w:val="24"/>
                <w:u w:val="none"/>
                <w:lang w:val="en-US" w:eastAsia="zh-CN" w:bidi="ar"/>
              </w:rPr>
              <w:t>12</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房地产开发企业使用商品房预售资金情况检查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房地产开发企业使用商品房预售资金情况检查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辖区内在售商品房</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约130个项目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100%</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检查房地产开发企业是否存在擅自销售商品房、违规收存、支取商品房预售资金等违法行为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eastAsia="仿宋_GB2312" w:cs="仿宋_GB2312"/>
                <w:i w:val="0"/>
                <w:iCs w:val="0"/>
                <w:color w:val="000000"/>
                <w:kern w:val="0"/>
                <w:sz w:val="24"/>
                <w:szCs w:val="24"/>
                <w:u w:val="none"/>
                <w:lang w:val="en-US" w:eastAsia="zh-CN" w:bidi="ar"/>
              </w:rPr>
              <w:t>3</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房地产中介机构开展房地产经纪服务和房地产评估活动检查</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房地产中介机构开展房地产经纪服务和房地产评估活动检查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全市房地产中介机构和房地产评估机构</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不少于150家</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随机抽查辖区内不少于10%的房地产中介机构</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检查房地产中介机构是否存在未依法备案擅自从事房地产经纪服务或房地产评估活动、违规收取经纪服务费、服务信息公示不规范等违法行为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现场检查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74"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eastAsia="仿宋_GB2312" w:cs="仿宋_GB2312"/>
                <w:i w:val="0"/>
                <w:iCs w:val="0"/>
                <w:color w:val="000000"/>
                <w:kern w:val="0"/>
                <w:sz w:val="24"/>
                <w:szCs w:val="24"/>
                <w:u w:val="none"/>
                <w:lang w:val="en-US" w:eastAsia="zh-CN" w:bidi="ar"/>
              </w:rPr>
              <w:t>4</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对企业取得建筑业企业资质后是否满足资质标准和市场行为的监督管理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建筑业企业资质动态核查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通过市住建局资质核准取得资质证书的建筑业企业</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约</w:t>
            </w:r>
            <w:r>
              <w:rPr>
                <w:rFonts w:hint="eastAsia" w:ascii="仿宋_GB2312" w:eastAsia="仿宋_GB2312" w:cs="仿宋_GB2312"/>
                <w:i w:val="0"/>
                <w:iCs w:val="0"/>
                <w:color w:val="000000"/>
                <w:kern w:val="0"/>
                <w:sz w:val="24"/>
                <w:szCs w:val="24"/>
                <w:u w:val="none"/>
                <w:lang w:val="en-US" w:eastAsia="zh-CN" w:bidi="ar"/>
              </w:rPr>
              <w:t>300</w:t>
            </w:r>
            <w:r>
              <w:rPr>
                <w:rFonts w:hint="eastAsia" w:ascii="仿宋_GB2312" w:hAnsi="宋体" w:eastAsia="仿宋_GB2312" w:cs="仿宋_GB2312"/>
                <w:i w:val="0"/>
                <w:iCs w:val="0"/>
                <w:color w:val="000000"/>
                <w:kern w:val="0"/>
                <w:sz w:val="24"/>
                <w:szCs w:val="24"/>
                <w:u w:val="none"/>
                <w:lang w:val="en-US" w:eastAsia="zh-CN" w:bidi="ar"/>
              </w:rPr>
              <w:t>家</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大概占企业总数5%</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检查企业资产、主要人员、技术装备等情况是否符合资质标准要求</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书面检查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市一级开展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790"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eastAsia="仿宋_GB2312" w:cs="仿宋_GB2312"/>
                <w:i w:val="0"/>
                <w:iCs w:val="0"/>
                <w:color w:val="000000"/>
                <w:kern w:val="0"/>
                <w:sz w:val="24"/>
                <w:szCs w:val="24"/>
                <w:u w:val="none"/>
                <w:lang w:val="en-US" w:eastAsia="zh-CN" w:bidi="ar"/>
              </w:rPr>
              <w:t>5</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对企业取得建筑业企业资质后是否满足资质标准和市场行为的监督管理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房屋建筑和市政基础建设工程发承包情况执法检查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在建房屋建筑和市政基础设施工程</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约</w:t>
            </w:r>
            <w:r>
              <w:rPr>
                <w:rFonts w:hint="eastAsia" w:ascii="仿宋_GB2312" w:eastAsia="仿宋_GB2312" w:cs="仿宋_GB2312"/>
                <w:i w:val="0"/>
                <w:iCs w:val="0"/>
                <w:color w:val="000000"/>
                <w:kern w:val="0"/>
                <w:sz w:val="24"/>
                <w:szCs w:val="24"/>
                <w:u w:val="none"/>
                <w:lang w:val="en-US" w:eastAsia="zh-CN" w:bidi="ar"/>
              </w:rPr>
              <w:t>200</w:t>
            </w:r>
            <w:r>
              <w:rPr>
                <w:rFonts w:hint="eastAsia" w:ascii="仿宋_GB2312" w:hAnsi="宋体" w:eastAsia="仿宋_GB2312" w:cs="仿宋_GB2312"/>
                <w:i w:val="0"/>
                <w:iCs w:val="0"/>
                <w:color w:val="000000"/>
                <w:kern w:val="0"/>
                <w:sz w:val="24"/>
                <w:szCs w:val="24"/>
                <w:u w:val="none"/>
                <w:lang w:val="en-US" w:eastAsia="zh-CN" w:bidi="ar"/>
              </w:rPr>
              <w:t>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年度检查辖区内不少于25%在建房屋建筑和市政基础设施工程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重点检查房屋市政工程建设单位是否存在违法发包等违</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法行为；勘察、设计、施工、监理等单位是否存在超越资</w:t>
            </w:r>
            <w:r>
              <w:rPr>
                <w:rFonts w:hint="eastAsia" w:ascii="仿宋_GB2312" w:hAnsi="宋体" w:eastAsia="仿宋_GB2312" w:cs="仿宋_GB2312"/>
                <w:i w:val="0"/>
                <w:iCs w:val="0"/>
                <w:color w:val="000000"/>
                <w:kern w:val="0"/>
                <w:sz w:val="24"/>
                <w:szCs w:val="24"/>
                <w:u w:val="none"/>
                <w:lang w:val="en-US" w:eastAsia="zh-CN" w:bidi="ar"/>
              </w:rPr>
              <w:br w:type="textWrapping"/>
            </w:r>
            <w:r>
              <w:rPr>
                <w:rFonts w:hint="eastAsia" w:ascii="仿宋_GB2312" w:hAnsi="宋体" w:eastAsia="仿宋_GB2312" w:cs="仿宋_GB2312"/>
                <w:i w:val="0"/>
                <w:iCs w:val="0"/>
                <w:color w:val="000000"/>
                <w:kern w:val="0"/>
                <w:sz w:val="24"/>
                <w:szCs w:val="24"/>
                <w:u w:val="none"/>
                <w:lang w:val="en-US" w:eastAsia="zh-CN" w:bidi="ar"/>
              </w:rPr>
              <w:t>质承揽工程、违法分包、转包、挂靠等违法行为。</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实地检查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市镇两级开展</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2193" w:hRule="atLeast"/>
        </w:trPr>
        <w:tc>
          <w:tcPr>
            <w:tcW w:w="8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1</w:t>
            </w:r>
            <w:r>
              <w:rPr>
                <w:rFonts w:hint="eastAsia" w:ascii="仿宋_GB2312" w:eastAsia="仿宋_GB2312" w:cs="仿宋_GB2312"/>
                <w:i w:val="0"/>
                <w:iCs w:val="0"/>
                <w:color w:val="000000"/>
                <w:kern w:val="0"/>
                <w:sz w:val="24"/>
                <w:szCs w:val="24"/>
                <w:u w:val="none"/>
                <w:lang w:val="en-US" w:eastAsia="zh-CN" w:bidi="ar"/>
              </w:rPr>
              <w:t>6</w:t>
            </w:r>
          </w:p>
        </w:tc>
        <w:tc>
          <w:tcPr>
            <w:tcW w:w="138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对企业取得建筑业企业资质后是否满足资质标准和市场行为的监督管理</w:t>
            </w:r>
          </w:p>
        </w:tc>
        <w:tc>
          <w:tcPr>
            <w:tcW w:w="1443"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保障农民工工资支付制度落实情况执法检查</w:t>
            </w:r>
          </w:p>
        </w:tc>
        <w:tc>
          <w:tcPr>
            <w:tcW w:w="195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在建房屋建筑和市政基础设施工程</w:t>
            </w:r>
          </w:p>
        </w:tc>
        <w:tc>
          <w:tcPr>
            <w:tcW w:w="971"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约</w:t>
            </w:r>
            <w:r>
              <w:rPr>
                <w:rFonts w:hint="eastAsia" w:ascii="仿宋_GB2312" w:eastAsia="仿宋_GB2312" w:cs="仿宋_GB2312"/>
                <w:i w:val="0"/>
                <w:iCs w:val="0"/>
                <w:color w:val="000000"/>
                <w:kern w:val="0"/>
                <w:sz w:val="24"/>
                <w:szCs w:val="24"/>
                <w:u w:val="none"/>
                <w:lang w:val="en-US" w:eastAsia="zh-CN" w:bidi="ar"/>
              </w:rPr>
              <w:t>8</w:t>
            </w:r>
            <w:r>
              <w:rPr>
                <w:rFonts w:hint="eastAsia" w:ascii="仿宋_GB2312" w:hAnsi="宋体" w:eastAsia="仿宋_GB2312" w:cs="仿宋_GB2312"/>
                <w:i w:val="0"/>
                <w:iCs w:val="0"/>
                <w:color w:val="000000"/>
                <w:kern w:val="0"/>
                <w:sz w:val="24"/>
                <w:szCs w:val="24"/>
                <w:u w:val="none"/>
                <w:lang w:val="en-US" w:eastAsia="zh-CN" w:bidi="ar"/>
              </w:rPr>
              <w:t>0个项目</w:t>
            </w:r>
          </w:p>
        </w:tc>
        <w:tc>
          <w:tcPr>
            <w:tcW w:w="175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每季度检查辖区内不少于10%在建房屋建筑和市政基础设施工程</w:t>
            </w:r>
          </w:p>
        </w:tc>
        <w:tc>
          <w:tcPr>
            <w:tcW w:w="1365"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2025年度</w:t>
            </w:r>
          </w:p>
        </w:tc>
        <w:tc>
          <w:tcPr>
            <w:tcW w:w="304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重点检查用工实名制、工程款支付担保等保障农民工工资支付制度落实情况。</w:t>
            </w:r>
          </w:p>
        </w:tc>
        <w:tc>
          <w:tcPr>
            <w:tcW w:w="103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实地检查</w:t>
            </w:r>
          </w:p>
        </w:tc>
        <w:tc>
          <w:tcPr>
            <w:tcW w:w="1306"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jc w:val="center"/>
              <w:textAlignment w:val="center"/>
              <w:rPr>
                <w:rFonts w:hint="eastAsia" w:ascii="仿宋_GB2312" w:hAnsi="宋体" w:eastAsia="仿宋_GB2312" w:cs="仿宋_GB2312"/>
                <w:i w:val="0"/>
                <w:iCs w:val="0"/>
                <w:color w:val="000000"/>
                <w:sz w:val="24"/>
                <w:szCs w:val="24"/>
                <w:u w:val="none"/>
              </w:rPr>
            </w:pPr>
            <w:r>
              <w:rPr>
                <w:rFonts w:hint="eastAsia" w:ascii="仿宋_GB2312" w:hAnsi="宋体" w:eastAsia="仿宋_GB2312" w:cs="仿宋_GB2312"/>
                <w:i w:val="0"/>
                <w:iCs w:val="0"/>
                <w:color w:val="000000"/>
                <w:kern w:val="0"/>
                <w:sz w:val="24"/>
                <w:szCs w:val="24"/>
                <w:u w:val="none"/>
                <w:lang w:val="en-US" w:eastAsia="zh-CN" w:bidi="ar"/>
              </w:rPr>
              <w:t>市镇两级开展</w:t>
            </w:r>
          </w:p>
        </w:tc>
      </w:tr>
    </w:tbl>
    <w:p>
      <w:pPr>
        <w:jc w:val="center"/>
      </w:pPr>
    </w:p>
    <w:p>
      <w:pPr>
        <w:jc w:val="center"/>
      </w:pPr>
    </w:p>
    <w:p/>
    <w:p>
      <w:pPr>
        <w:jc w:val="center"/>
      </w:pPr>
    </w:p>
    <w:p>
      <w:pPr>
        <w:spacing w:line="240" w:lineRule="exact"/>
        <w:rPr>
          <w:rFonts w:ascii="仿宋_GB2312" w:eastAsia="仿宋_GB2312"/>
        </w:rPr>
      </w:pPr>
    </w:p>
    <w:sectPr>
      <w:pgSz w:w="16838" w:h="11906" w:orient="landscape"/>
      <w:pgMar w:top="1588" w:right="1304" w:bottom="2410" w:left="1361" w:header="851" w:footer="992" w:gutter="0"/>
      <w:cols w:space="425"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0"/>
  <w:bordersDoNotSurroundFooter w:val="0"/>
  <w:documentProtection w:enforcement="0"/>
  <w:defaultTabStop w:val="420"/>
  <w:drawingGridHorizontalSpacing w:val="120"/>
  <w:drawingGridVerticalSpacing w:val="163"/>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useAltKinsokuLineBreakRules/>
    <w:compatSetting w:name="compatibilityMode" w:uri="http://schemas.microsoft.com/office/word" w:val="12"/>
  </w:compat>
  <w:rsids>
    <w:rsidRoot w:val="00581053"/>
    <w:rsid w:val="00013E96"/>
    <w:rsid w:val="00024252"/>
    <w:rsid w:val="000579C0"/>
    <w:rsid w:val="00061E73"/>
    <w:rsid w:val="000651E9"/>
    <w:rsid w:val="00067A6F"/>
    <w:rsid w:val="000A3451"/>
    <w:rsid w:val="000A7E60"/>
    <w:rsid w:val="000D0BDB"/>
    <w:rsid w:val="000E55AD"/>
    <w:rsid w:val="000F2A59"/>
    <w:rsid w:val="00106CA9"/>
    <w:rsid w:val="001419E9"/>
    <w:rsid w:val="00143AA3"/>
    <w:rsid w:val="00167B6B"/>
    <w:rsid w:val="001A0410"/>
    <w:rsid w:val="001A3174"/>
    <w:rsid w:val="001D020F"/>
    <w:rsid w:val="001E52B4"/>
    <w:rsid w:val="001F30CD"/>
    <w:rsid w:val="002128E9"/>
    <w:rsid w:val="00242883"/>
    <w:rsid w:val="00262289"/>
    <w:rsid w:val="002675F7"/>
    <w:rsid w:val="00276966"/>
    <w:rsid w:val="00293F40"/>
    <w:rsid w:val="002A5CA9"/>
    <w:rsid w:val="002B020E"/>
    <w:rsid w:val="002C05DD"/>
    <w:rsid w:val="002C4595"/>
    <w:rsid w:val="002E0184"/>
    <w:rsid w:val="002E2A98"/>
    <w:rsid w:val="002E380E"/>
    <w:rsid w:val="002E3A9D"/>
    <w:rsid w:val="002E703E"/>
    <w:rsid w:val="003360B0"/>
    <w:rsid w:val="00346FBF"/>
    <w:rsid w:val="00354C80"/>
    <w:rsid w:val="00361C97"/>
    <w:rsid w:val="0038536C"/>
    <w:rsid w:val="00387D1B"/>
    <w:rsid w:val="003A460E"/>
    <w:rsid w:val="003C6A66"/>
    <w:rsid w:val="003F0A87"/>
    <w:rsid w:val="00401619"/>
    <w:rsid w:val="00402DA6"/>
    <w:rsid w:val="00415D52"/>
    <w:rsid w:val="00417DC2"/>
    <w:rsid w:val="0042150F"/>
    <w:rsid w:val="00426D85"/>
    <w:rsid w:val="00430F97"/>
    <w:rsid w:val="00441182"/>
    <w:rsid w:val="00446751"/>
    <w:rsid w:val="004720F8"/>
    <w:rsid w:val="004848D6"/>
    <w:rsid w:val="004A1D30"/>
    <w:rsid w:val="004A7AD2"/>
    <w:rsid w:val="004B4EEC"/>
    <w:rsid w:val="004D2DA6"/>
    <w:rsid w:val="004D32E6"/>
    <w:rsid w:val="004D443E"/>
    <w:rsid w:val="005021C5"/>
    <w:rsid w:val="005223F5"/>
    <w:rsid w:val="00537553"/>
    <w:rsid w:val="0056703B"/>
    <w:rsid w:val="00567D34"/>
    <w:rsid w:val="00580E25"/>
    <w:rsid w:val="00581053"/>
    <w:rsid w:val="0058366A"/>
    <w:rsid w:val="00585B41"/>
    <w:rsid w:val="005A2868"/>
    <w:rsid w:val="005B3F7C"/>
    <w:rsid w:val="005C3AE0"/>
    <w:rsid w:val="005C486B"/>
    <w:rsid w:val="005C51B2"/>
    <w:rsid w:val="005E17E3"/>
    <w:rsid w:val="005F2EAC"/>
    <w:rsid w:val="005F56C3"/>
    <w:rsid w:val="006004FC"/>
    <w:rsid w:val="00603F94"/>
    <w:rsid w:val="00615FEA"/>
    <w:rsid w:val="00627610"/>
    <w:rsid w:val="006311B2"/>
    <w:rsid w:val="006407FF"/>
    <w:rsid w:val="00641793"/>
    <w:rsid w:val="00644725"/>
    <w:rsid w:val="006449C7"/>
    <w:rsid w:val="00645170"/>
    <w:rsid w:val="00653481"/>
    <w:rsid w:val="0067609C"/>
    <w:rsid w:val="006A6BBE"/>
    <w:rsid w:val="006B1819"/>
    <w:rsid w:val="006C17D0"/>
    <w:rsid w:val="006C45E4"/>
    <w:rsid w:val="006D14AF"/>
    <w:rsid w:val="006E0C51"/>
    <w:rsid w:val="006E1779"/>
    <w:rsid w:val="006F701C"/>
    <w:rsid w:val="007175E2"/>
    <w:rsid w:val="007416B6"/>
    <w:rsid w:val="0075457F"/>
    <w:rsid w:val="0075521F"/>
    <w:rsid w:val="00763887"/>
    <w:rsid w:val="007A2F80"/>
    <w:rsid w:val="007A4BEE"/>
    <w:rsid w:val="007D772F"/>
    <w:rsid w:val="007E10A4"/>
    <w:rsid w:val="007E1CDC"/>
    <w:rsid w:val="007E3B0F"/>
    <w:rsid w:val="007F0948"/>
    <w:rsid w:val="008440B5"/>
    <w:rsid w:val="008443B8"/>
    <w:rsid w:val="008447D8"/>
    <w:rsid w:val="00862380"/>
    <w:rsid w:val="00870E92"/>
    <w:rsid w:val="00876E83"/>
    <w:rsid w:val="0088481B"/>
    <w:rsid w:val="00892A54"/>
    <w:rsid w:val="008B35F1"/>
    <w:rsid w:val="008D6715"/>
    <w:rsid w:val="008E5357"/>
    <w:rsid w:val="008F3F4A"/>
    <w:rsid w:val="009517EE"/>
    <w:rsid w:val="00956250"/>
    <w:rsid w:val="0096735E"/>
    <w:rsid w:val="00975EAF"/>
    <w:rsid w:val="009A065B"/>
    <w:rsid w:val="009A13E7"/>
    <w:rsid w:val="009B72AA"/>
    <w:rsid w:val="009B7C5F"/>
    <w:rsid w:val="009D5F7C"/>
    <w:rsid w:val="00A047D5"/>
    <w:rsid w:val="00A23974"/>
    <w:rsid w:val="00A40894"/>
    <w:rsid w:val="00A64137"/>
    <w:rsid w:val="00A72559"/>
    <w:rsid w:val="00A72652"/>
    <w:rsid w:val="00A83E4E"/>
    <w:rsid w:val="00A901B1"/>
    <w:rsid w:val="00A95DBD"/>
    <w:rsid w:val="00A963AD"/>
    <w:rsid w:val="00AC02FB"/>
    <w:rsid w:val="00AE129A"/>
    <w:rsid w:val="00AE4781"/>
    <w:rsid w:val="00AF3864"/>
    <w:rsid w:val="00B07F9D"/>
    <w:rsid w:val="00B20E3B"/>
    <w:rsid w:val="00B44F46"/>
    <w:rsid w:val="00B55232"/>
    <w:rsid w:val="00B57544"/>
    <w:rsid w:val="00B66150"/>
    <w:rsid w:val="00B66453"/>
    <w:rsid w:val="00B7662C"/>
    <w:rsid w:val="00B944EB"/>
    <w:rsid w:val="00BC54FD"/>
    <w:rsid w:val="00BD55B3"/>
    <w:rsid w:val="00BF0C8F"/>
    <w:rsid w:val="00C000AC"/>
    <w:rsid w:val="00C072B0"/>
    <w:rsid w:val="00C13BF5"/>
    <w:rsid w:val="00C20353"/>
    <w:rsid w:val="00C25663"/>
    <w:rsid w:val="00C274FF"/>
    <w:rsid w:val="00C3796F"/>
    <w:rsid w:val="00C52F61"/>
    <w:rsid w:val="00C63311"/>
    <w:rsid w:val="00C70073"/>
    <w:rsid w:val="00C72090"/>
    <w:rsid w:val="00C74EF1"/>
    <w:rsid w:val="00C769F9"/>
    <w:rsid w:val="00C95138"/>
    <w:rsid w:val="00CF3406"/>
    <w:rsid w:val="00CF3D01"/>
    <w:rsid w:val="00CF63D3"/>
    <w:rsid w:val="00D00102"/>
    <w:rsid w:val="00D122C4"/>
    <w:rsid w:val="00D15A80"/>
    <w:rsid w:val="00D26434"/>
    <w:rsid w:val="00D3448D"/>
    <w:rsid w:val="00D4358A"/>
    <w:rsid w:val="00D453E3"/>
    <w:rsid w:val="00D47581"/>
    <w:rsid w:val="00D54F82"/>
    <w:rsid w:val="00D62BAB"/>
    <w:rsid w:val="00D62D97"/>
    <w:rsid w:val="00D75309"/>
    <w:rsid w:val="00D757D6"/>
    <w:rsid w:val="00D80754"/>
    <w:rsid w:val="00D8255B"/>
    <w:rsid w:val="00D85723"/>
    <w:rsid w:val="00D91F32"/>
    <w:rsid w:val="00DA519E"/>
    <w:rsid w:val="00DD7B97"/>
    <w:rsid w:val="00DE77B6"/>
    <w:rsid w:val="00E12801"/>
    <w:rsid w:val="00E13360"/>
    <w:rsid w:val="00E177C7"/>
    <w:rsid w:val="00E2164F"/>
    <w:rsid w:val="00E24028"/>
    <w:rsid w:val="00E302E0"/>
    <w:rsid w:val="00E33602"/>
    <w:rsid w:val="00E37723"/>
    <w:rsid w:val="00E45F1B"/>
    <w:rsid w:val="00E63BF2"/>
    <w:rsid w:val="00E7543D"/>
    <w:rsid w:val="00E774D1"/>
    <w:rsid w:val="00E970B6"/>
    <w:rsid w:val="00ED4808"/>
    <w:rsid w:val="00ED6C6B"/>
    <w:rsid w:val="00EF0EE9"/>
    <w:rsid w:val="00F0239D"/>
    <w:rsid w:val="00F07A54"/>
    <w:rsid w:val="00F4381D"/>
    <w:rsid w:val="00F53D68"/>
    <w:rsid w:val="00F60F75"/>
    <w:rsid w:val="00F61FF7"/>
    <w:rsid w:val="00F92DBB"/>
    <w:rsid w:val="00F94973"/>
    <w:rsid w:val="00FA4119"/>
    <w:rsid w:val="00FA7782"/>
    <w:rsid w:val="00FB4CA1"/>
    <w:rsid w:val="00FF430C"/>
    <w:rsid w:val="010D27D0"/>
    <w:rsid w:val="0DA97027"/>
    <w:rsid w:val="0F0A4357"/>
    <w:rsid w:val="0FB7360A"/>
    <w:rsid w:val="15E06C3F"/>
    <w:rsid w:val="17917436"/>
    <w:rsid w:val="1DD94C8E"/>
    <w:rsid w:val="1F302BCF"/>
    <w:rsid w:val="25F73463"/>
    <w:rsid w:val="26336D2A"/>
    <w:rsid w:val="29530C6F"/>
    <w:rsid w:val="3608078F"/>
    <w:rsid w:val="36F86E3A"/>
    <w:rsid w:val="37A55C2D"/>
    <w:rsid w:val="3E2D22C2"/>
    <w:rsid w:val="3E317C45"/>
    <w:rsid w:val="401D2976"/>
    <w:rsid w:val="40EE466F"/>
    <w:rsid w:val="46466266"/>
    <w:rsid w:val="49224BFF"/>
    <w:rsid w:val="49A96A04"/>
    <w:rsid w:val="4B9A002F"/>
    <w:rsid w:val="5605428E"/>
    <w:rsid w:val="5D9E0022"/>
    <w:rsid w:val="608400C7"/>
    <w:rsid w:val="66415DDE"/>
    <w:rsid w:val="67C81468"/>
    <w:rsid w:val="68D66A9C"/>
    <w:rsid w:val="6A830FD7"/>
    <w:rsid w:val="72D35724"/>
    <w:rsid w:val="75615A7D"/>
    <w:rsid w:val="793D708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1" w:semiHidden="0" w:name="No Spacing"/>
    <w:lsdException w:qFormat="1"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宋体" w:hAnsi="宋体" w:eastAsia="宋体" w:cs="宋体"/>
      <w:sz w:val="24"/>
      <w:szCs w:val="24"/>
      <w:lang w:val="en-US" w:eastAsia="zh-CN" w:bidi="ar-SA"/>
    </w:rPr>
  </w:style>
  <w:style w:type="character" w:default="1" w:styleId="5">
    <w:name w:val="Default Paragraph Font"/>
    <w:semiHidden/>
    <w:unhideWhenUsed/>
    <w:uiPriority w:val="1"/>
  </w:style>
  <w:style w:type="table" w:default="1" w:styleId="2">
    <w:name w:val="Normal Table"/>
    <w:semiHidden/>
    <w:unhideWhenUsed/>
    <w:qFormat/>
    <w:uiPriority w:val="99"/>
    <w:tblPr>
      <w:tblCellMar>
        <w:top w:w="0" w:type="dxa"/>
        <w:left w:w="108" w:type="dxa"/>
        <w:bottom w:w="0" w:type="dxa"/>
        <w:right w:w="108" w:type="dxa"/>
      </w:tblCellMar>
    </w:tblPr>
  </w:style>
  <w:style w:type="table" w:styleId="3">
    <w:name w:val="Table Grid"/>
    <w:basedOn w:val="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4">
    <w:name w:val="Light Shading"/>
    <w:basedOn w:val="2"/>
    <w:qFormat/>
    <w:uiPriority w:val="60"/>
    <w:rPr>
      <w:color w:val="000000" w:themeColor="text1" w:themeShade="BF"/>
    </w:rPr>
    <w:tblPr>
      <w:tblBorders>
        <w:top w:val="single" w:color="000000" w:themeColor="text1" w:sz="8" w:space="0"/>
        <w:bottom w:val="single" w:color="000000" w:themeColor="text1" w:sz="8" w:space="0"/>
      </w:tblBorders>
      <w:tblCellMar>
        <w:top w:w="0" w:type="dxa"/>
        <w:left w:w="108" w:type="dxa"/>
        <w:bottom w:w="0" w:type="dxa"/>
        <w:right w:w="108" w:type="dxa"/>
      </w:tblCellMar>
    </w:tblPr>
    <w:tblStylePr w:type="fir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lastRow">
      <w:pPr>
        <w:spacing w:before="0" w:after="0" w:line="240" w:lineRule="auto"/>
      </w:pPr>
      <w:rPr>
        <w:b/>
        <w:bCs/>
      </w:rPr>
      <w:tblPr/>
      <w:tcPr>
        <w:tcBorders>
          <w:top w:val="single" w:color="000000" w:themeColor="text1" w:sz="8" w:space="0"/>
          <w:left w:val="nil"/>
          <w:bottom w:val="single" w:color="000000" w:themeColor="text1" w:sz="8" w:space="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FBFBF" w:themeFill="text1" w:themeFillTint="3F"/>
      </w:tcPr>
    </w:tblStylePr>
    <w:tblStylePr w:type="band1Horz">
      <w:tblPr/>
      <w:tcPr>
        <w:tcBorders>
          <w:left w:val="nil"/>
          <w:right w:val="nil"/>
          <w:insideH w:val="nil"/>
          <w:insideV w:val="nil"/>
        </w:tcBorders>
        <w:shd w:val="clear" w:color="auto" w:fill="BFBFBF" w:themeFill="text1" w:themeFillTint="3F"/>
      </w:tcPr>
    </w:tblStylePr>
  </w:style>
  <w:style w:type="paragraph" w:customStyle="1" w:styleId="6">
    <w:name w:val="font517143"/>
    <w:basedOn w:val="1"/>
    <w:qFormat/>
    <w:uiPriority w:val="0"/>
    <w:pPr>
      <w:spacing w:before="100" w:beforeAutospacing="1" w:after="100" w:afterAutospacing="1"/>
    </w:pPr>
    <w:rPr>
      <w:sz w:val="18"/>
      <w:szCs w:val="18"/>
    </w:rPr>
  </w:style>
  <w:style w:type="paragraph" w:customStyle="1" w:styleId="7">
    <w:name w:val="xl1517143"/>
    <w:basedOn w:val="1"/>
    <w:qFormat/>
    <w:uiPriority w:val="0"/>
    <w:pPr>
      <w:spacing w:before="100" w:beforeAutospacing="1" w:after="100" w:afterAutospacing="1"/>
      <w:textAlignment w:val="bottom"/>
    </w:pPr>
    <w:rPr>
      <w:color w:val="000000"/>
      <w:sz w:val="22"/>
      <w:szCs w:val="22"/>
    </w:rPr>
  </w:style>
  <w:style w:type="paragraph" w:customStyle="1" w:styleId="8">
    <w:name w:val="xl6317143"/>
    <w:basedOn w:val="1"/>
    <w:qFormat/>
    <w:uiPriority w:val="0"/>
    <w:pPr>
      <w:spacing w:before="100" w:beforeAutospacing="1" w:after="100" w:afterAutospacing="1"/>
      <w:textAlignment w:val="center"/>
    </w:pPr>
    <w:rPr>
      <w:color w:val="000000"/>
      <w:sz w:val="22"/>
      <w:szCs w:val="22"/>
    </w:rPr>
  </w:style>
  <w:style w:type="paragraph" w:customStyle="1" w:styleId="9">
    <w:name w:val="xl6417143"/>
    <w:basedOn w:val="1"/>
    <w:qFormat/>
    <w:uiPriority w:val="0"/>
    <w:pPr>
      <w:spacing w:before="100" w:beforeAutospacing="1" w:after="100" w:afterAutospacing="1"/>
      <w:textAlignment w:val="center"/>
    </w:pPr>
    <w:rPr>
      <w:rFonts w:ascii="Times New Roman" w:hAnsi="Times New Roman" w:cs="Times New Roman"/>
      <w:color w:val="000000"/>
      <w:sz w:val="20"/>
      <w:szCs w:val="20"/>
    </w:rPr>
  </w:style>
  <w:style w:type="paragraph" w:customStyle="1" w:styleId="10">
    <w:name w:val="xl65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b/>
      <w:bCs/>
      <w:color w:val="000000"/>
      <w:sz w:val="22"/>
      <w:szCs w:val="22"/>
    </w:rPr>
  </w:style>
  <w:style w:type="paragraph" w:customStyle="1" w:styleId="11">
    <w:name w:val="xl66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12">
    <w:name w:val="xl67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13">
    <w:name w:val="xl6817143"/>
    <w:basedOn w:val="1"/>
    <w:qFormat/>
    <w:uiPriority w:val="0"/>
    <w:pPr>
      <w:spacing w:before="100" w:beforeAutospacing="1" w:after="100" w:afterAutospacing="1"/>
      <w:jc w:val="center"/>
      <w:textAlignment w:val="center"/>
    </w:pPr>
    <w:rPr>
      <w:color w:val="000000"/>
      <w:sz w:val="22"/>
      <w:szCs w:val="22"/>
    </w:rPr>
  </w:style>
  <w:style w:type="paragraph" w:customStyle="1" w:styleId="14">
    <w:name w:val="xl69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color w:val="000000"/>
      <w:sz w:val="22"/>
      <w:szCs w:val="22"/>
    </w:rPr>
  </w:style>
  <w:style w:type="paragraph" w:customStyle="1" w:styleId="15">
    <w:name w:val="xl70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16">
    <w:name w:val="xl71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17">
    <w:name w:val="xl72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0"/>
      <w:szCs w:val="20"/>
    </w:rPr>
  </w:style>
  <w:style w:type="paragraph" w:customStyle="1" w:styleId="18">
    <w:name w:val="xl73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19">
    <w:name w:val="xl74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b/>
      <w:bCs/>
      <w:color w:val="000000"/>
      <w:sz w:val="28"/>
      <w:szCs w:val="28"/>
    </w:rPr>
  </w:style>
  <w:style w:type="paragraph" w:customStyle="1" w:styleId="20">
    <w:name w:val="xl7517143"/>
    <w:basedOn w:val="1"/>
    <w:qFormat/>
    <w:uiPriority w:val="0"/>
    <w:pPr>
      <w:spacing w:before="100" w:beforeAutospacing="1" w:after="100" w:afterAutospacing="1"/>
      <w:jc w:val="center"/>
      <w:textAlignment w:val="center"/>
    </w:pPr>
    <w:rPr>
      <w:color w:val="000000"/>
      <w:sz w:val="28"/>
      <w:szCs w:val="28"/>
    </w:rPr>
  </w:style>
  <w:style w:type="paragraph" w:customStyle="1" w:styleId="21">
    <w:name w:val="xl76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color w:val="000000"/>
      <w:sz w:val="20"/>
      <w:szCs w:val="20"/>
    </w:rPr>
  </w:style>
  <w:style w:type="paragraph" w:customStyle="1" w:styleId="22">
    <w:name w:val="xl77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23">
    <w:name w:val="xl78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24">
    <w:name w:val="xl79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25">
    <w:name w:val="xl80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26">
    <w:name w:val="xl81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27">
    <w:name w:val="xl82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28">
    <w:name w:val="xl8317143"/>
    <w:basedOn w:val="1"/>
    <w:qFormat/>
    <w:uiPriority w:val="0"/>
    <w:pPr>
      <w:spacing w:before="100" w:beforeAutospacing="1" w:after="100" w:afterAutospacing="1"/>
      <w:textAlignment w:val="center"/>
    </w:pPr>
    <w:rPr>
      <w:color w:val="000000"/>
      <w:sz w:val="28"/>
      <w:szCs w:val="28"/>
    </w:rPr>
  </w:style>
  <w:style w:type="paragraph" w:customStyle="1" w:styleId="29">
    <w:name w:val="xl8417143"/>
    <w:basedOn w:val="1"/>
    <w:qFormat/>
    <w:uiPriority w:val="0"/>
    <w:pPr>
      <w:spacing w:before="100" w:beforeAutospacing="1" w:after="100" w:afterAutospacing="1"/>
      <w:textAlignment w:val="center"/>
    </w:pPr>
    <w:rPr>
      <w:color w:val="000000"/>
    </w:rPr>
  </w:style>
  <w:style w:type="paragraph" w:customStyle="1" w:styleId="30">
    <w:name w:val="xl8517143"/>
    <w:basedOn w:val="1"/>
    <w:qFormat/>
    <w:uiPriority w:val="0"/>
    <w:pPr>
      <w:spacing w:before="100" w:beforeAutospacing="1" w:after="100" w:afterAutospacing="1"/>
      <w:textAlignment w:val="center"/>
    </w:pPr>
    <w:rPr>
      <w:color w:val="000000"/>
    </w:rPr>
  </w:style>
  <w:style w:type="paragraph" w:customStyle="1" w:styleId="31">
    <w:name w:val="xl86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32">
    <w:name w:val="xl8717143"/>
    <w:basedOn w:val="1"/>
    <w:qFormat/>
    <w:uiPriority w:val="0"/>
    <w:pPr>
      <w:pBdr>
        <w:top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33">
    <w:name w:val="xl8817143"/>
    <w:basedOn w:val="1"/>
    <w:qFormat/>
    <w:uiPriority w:val="0"/>
    <w:pPr>
      <w:pBdr>
        <w:top w:val="single" w:color="auto" w:sz="8" w:space="1"/>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34">
    <w:name w:val="xl8917143"/>
    <w:basedOn w:val="1"/>
    <w:qFormat/>
    <w:uiPriority w:val="0"/>
    <w:pPr>
      <w:pBdr>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35">
    <w:name w:val="xl90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rPr>
  </w:style>
  <w:style w:type="paragraph" w:customStyle="1" w:styleId="36">
    <w:name w:val="xl91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37">
    <w:name w:val="xl9217143"/>
    <w:basedOn w:val="1"/>
    <w:qFormat/>
    <w:uiPriority w:val="0"/>
    <w:pPr>
      <w:spacing w:before="100" w:beforeAutospacing="1" w:after="100" w:afterAutospacing="1"/>
      <w:textAlignment w:val="center"/>
    </w:pPr>
    <w:rPr>
      <w:rFonts w:ascii="仿宋_GB2312" w:eastAsia="仿宋_GB2312"/>
      <w:color w:val="000000"/>
      <w:sz w:val="22"/>
      <w:szCs w:val="22"/>
    </w:rPr>
  </w:style>
  <w:style w:type="paragraph" w:customStyle="1" w:styleId="38">
    <w:name w:val="xl9317143"/>
    <w:basedOn w:val="1"/>
    <w:qFormat/>
    <w:uiPriority w:val="0"/>
    <w:pPr>
      <w:pBdr>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39">
    <w:name w:val="xl94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rPr>
  </w:style>
  <w:style w:type="paragraph" w:customStyle="1" w:styleId="40">
    <w:name w:val="xl95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41">
    <w:name w:val="xl9617143"/>
    <w:basedOn w:val="1"/>
    <w:qFormat/>
    <w:uiPriority w:val="0"/>
    <w:pPr>
      <w:pBdr>
        <w:top w:val="single" w:color="auto" w:sz="8" w:space="1"/>
        <w:left w:val="single" w:color="auto" w:sz="8" w:space="1"/>
        <w:bottom w:val="single" w:color="auto" w:sz="8" w:space="0"/>
      </w:pBdr>
      <w:spacing w:before="100" w:beforeAutospacing="1" w:after="100" w:afterAutospacing="1"/>
      <w:textAlignment w:val="center"/>
    </w:pPr>
    <w:rPr>
      <w:rFonts w:ascii="仿宋_GB2312" w:eastAsia="仿宋_GB2312"/>
      <w:color w:val="000000"/>
      <w:sz w:val="22"/>
      <w:szCs w:val="22"/>
    </w:rPr>
  </w:style>
  <w:style w:type="paragraph" w:customStyle="1" w:styleId="42">
    <w:name w:val="xl97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3">
    <w:name w:val="xl9817143"/>
    <w:basedOn w:val="1"/>
    <w:qFormat/>
    <w:uiPriority w:val="0"/>
    <w:pPr>
      <w:pBdr>
        <w:top w:val="single" w:color="auto" w:sz="8" w:space="1"/>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44">
    <w:name w:val="xl9917143"/>
    <w:basedOn w:val="1"/>
    <w:qFormat/>
    <w:uiPriority w:val="0"/>
    <w:pPr>
      <w:pBdr>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8"/>
      <w:szCs w:val="28"/>
    </w:rPr>
  </w:style>
  <w:style w:type="paragraph" w:customStyle="1" w:styleId="45">
    <w:name w:val="xl10017143"/>
    <w:basedOn w:val="1"/>
    <w:qFormat/>
    <w:uiPriority w:val="0"/>
    <w:pPr>
      <w:pBdr>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46">
    <w:name w:val="xl10117143"/>
    <w:basedOn w:val="1"/>
    <w:qFormat/>
    <w:uiPriority w:val="0"/>
    <w:pPr>
      <w:pBdr>
        <w:top w:val="single" w:color="auto" w:sz="8" w:space="1"/>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7">
    <w:name w:val="xl10217143"/>
    <w:basedOn w:val="1"/>
    <w:qFormat/>
    <w:uiPriority w:val="0"/>
    <w:pPr>
      <w:pBdr>
        <w:left w:val="single" w:color="auto" w:sz="8" w:space="1"/>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8">
    <w:name w:val="xl10317143"/>
    <w:basedOn w:val="1"/>
    <w:qFormat/>
    <w:uiPriority w:val="0"/>
    <w:pPr>
      <w:pBdr>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2"/>
      <w:szCs w:val="22"/>
    </w:rPr>
  </w:style>
  <w:style w:type="paragraph" w:customStyle="1" w:styleId="49">
    <w:name w:val="xl104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jc w:val="center"/>
      <w:textAlignment w:val="center"/>
    </w:pPr>
    <w:rPr>
      <w:rFonts w:ascii="仿宋_GB2312" w:eastAsia="仿宋_GB2312"/>
      <w:color w:val="000000"/>
      <w:sz w:val="20"/>
      <w:szCs w:val="20"/>
    </w:rPr>
  </w:style>
  <w:style w:type="paragraph" w:customStyle="1" w:styleId="50">
    <w:name w:val="xl105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rPr>
  </w:style>
  <w:style w:type="paragraph" w:customStyle="1" w:styleId="51">
    <w:name w:val="xl10617143"/>
    <w:basedOn w:val="1"/>
    <w:qFormat/>
    <w:uiPriority w:val="0"/>
    <w:pPr>
      <w:spacing w:before="100" w:beforeAutospacing="1" w:after="100" w:afterAutospacing="1"/>
      <w:jc w:val="center"/>
      <w:textAlignment w:val="center"/>
    </w:pPr>
    <w:rPr>
      <w:rFonts w:ascii="方正小标宋简体" w:hAnsi="方正小标宋简体" w:eastAsia="方正小标宋简体"/>
      <w:color w:val="000000"/>
      <w:sz w:val="48"/>
      <w:szCs w:val="48"/>
    </w:rPr>
  </w:style>
  <w:style w:type="paragraph" w:customStyle="1" w:styleId="52">
    <w:name w:val="xl10717143"/>
    <w:basedOn w:val="1"/>
    <w:qFormat/>
    <w:uiPriority w:val="0"/>
    <w:pPr>
      <w:pBdr>
        <w:top w:val="single" w:color="auto" w:sz="8" w:space="1"/>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53">
    <w:name w:val="xl10817143"/>
    <w:basedOn w:val="1"/>
    <w:qFormat/>
    <w:uiPriority w:val="0"/>
    <w:pPr>
      <w:pBdr>
        <w:top w:val="single" w:color="auto" w:sz="8" w:space="1"/>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4">
    <w:name w:val="xl10917143"/>
    <w:basedOn w:val="1"/>
    <w:qFormat/>
    <w:uiPriority w:val="0"/>
    <w:pPr>
      <w:pBdr>
        <w:top w:val="single" w:color="auto" w:sz="8" w:space="1"/>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5">
    <w:name w:val="xl11017143"/>
    <w:basedOn w:val="1"/>
    <w:qFormat/>
    <w:uiPriority w:val="0"/>
    <w:pPr>
      <w:pBdr>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6">
    <w:name w:val="xl11117143"/>
    <w:basedOn w:val="1"/>
    <w:qFormat/>
    <w:uiPriority w:val="0"/>
    <w:pPr>
      <w:pBdr>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57">
    <w:name w:val="xl11217143"/>
    <w:basedOn w:val="1"/>
    <w:qFormat/>
    <w:uiPriority w:val="0"/>
    <w:pPr>
      <w:pBdr>
        <w:top w:val="single" w:color="auto" w:sz="8" w:space="1"/>
        <w:left w:val="single" w:color="auto" w:sz="8" w:space="1"/>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58">
    <w:name w:val="xl11317143"/>
    <w:basedOn w:val="1"/>
    <w:qFormat/>
    <w:uiPriority w:val="0"/>
    <w:pPr>
      <w:pBdr>
        <w:left w:val="single" w:color="auto" w:sz="8" w:space="1"/>
        <w:bottom w:val="single" w:color="auto" w:sz="8" w:space="0"/>
        <w:right w:val="single" w:color="auto" w:sz="8" w:space="1"/>
      </w:pBdr>
      <w:shd w:val="clear" w:color="000000" w:fill="FFFFFF"/>
      <w:spacing w:before="100" w:beforeAutospacing="1" w:after="100" w:afterAutospacing="1"/>
      <w:textAlignment w:val="center"/>
    </w:pPr>
    <w:rPr>
      <w:rFonts w:ascii="仿宋_GB2312" w:eastAsia="仿宋_GB2312"/>
      <w:color w:val="000000"/>
      <w:sz w:val="22"/>
      <w:szCs w:val="22"/>
    </w:rPr>
  </w:style>
  <w:style w:type="paragraph" w:customStyle="1" w:styleId="59">
    <w:name w:val="xl11417143"/>
    <w:basedOn w:val="1"/>
    <w:qFormat/>
    <w:uiPriority w:val="0"/>
    <w:pPr>
      <w:pBdr>
        <w:top w:val="single" w:color="auto" w:sz="8" w:space="1"/>
        <w:left w:val="single" w:color="auto" w:sz="8" w:space="1"/>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60">
    <w:name w:val="xl11517143"/>
    <w:basedOn w:val="1"/>
    <w:qFormat/>
    <w:uiPriority w:val="0"/>
    <w:pPr>
      <w:pBdr>
        <w:left w:val="single" w:color="auto" w:sz="8" w:space="1"/>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61">
    <w:name w:val="xl11617143"/>
    <w:basedOn w:val="1"/>
    <w:qFormat/>
    <w:uiPriority w:val="0"/>
    <w:pPr>
      <w:pBdr>
        <w:left w:val="single" w:color="auto" w:sz="8" w:space="1"/>
        <w:bottom w:val="single" w:color="auto" w:sz="8" w:space="0"/>
        <w:right w:val="single" w:color="auto" w:sz="8" w:space="1"/>
      </w:pBdr>
      <w:shd w:val="clear" w:color="000000" w:fill="FFFFFF"/>
      <w:spacing w:before="100" w:beforeAutospacing="1" w:after="100" w:afterAutospacing="1"/>
      <w:jc w:val="center"/>
      <w:textAlignment w:val="center"/>
    </w:pPr>
    <w:rPr>
      <w:rFonts w:ascii="仿宋_GB2312" w:eastAsia="仿宋_GB2312"/>
      <w:color w:val="000000"/>
      <w:sz w:val="22"/>
      <w:szCs w:val="22"/>
    </w:rPr>
  </w:style>
  <w:style w:type="paragraph" w:customStyle="1" w:styleId="62">
    <w:name w:val="xl11717143"/>
    <w:basedOn w:val="1"/>
    <w:qFormat/>
    <w:uiPriority w:val="0"/>
    <w:pPr>
      <w:pBdr>
        <w:top w:val="single" w:color="auto" w:sz="8" w:space="1"/>
        <w:left w:val="single" w:color="auto" w:sz="8" w:space="1"/>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customStyle="1" w:styleId="63">
    <w:name w:val="xl11817143"/>
    <w:basedOn w:val="1"/>
    <w:qFormat/>
    <w:uiPriority w:val="0"/>
    <w:pPr>
      <w:pBdr>
        <w:left w:val="single" w:color="auto" w:sz="8" w:space="1"/>
        <w:bottom w:val="single" w:color="auto" w:sz="8" w:space="0"/>
        <w:right w:val="single" w:color="auto" w:sz="8" w:space="1"/>
      </w:pBdr>
      <w:spacing w:before="100" w:beforeAutospacing="1" w:after="100" w:afterAutospacing="1"/>
      <w:textAlignment w:val="center"/>
    </w:pPr>
    <w:rPr>
      <w:rFonts w:ascii="仿宋_GB2312" w:eastAsia="仿宋_GB2312"/>
      <w:color w:val="000000"/>
      <w:sz w:val="22"/>
      <w:szCs w:val="22"/>
    </w:rPr>
  </w:style>
  <w:style w:type="paragraph" w:styleId="64">
    <w:name w:val="No Spacing"/>
    <w:qFormat/>
    <w:uiPriority w:val="1"/>
    <w:rPr>
      <w:rFonts w:ascii="宋体" w:hAnsi="宋体" w:eastAsia="宋体" w:cs="宋体"/>
      <w:sz w:val="24"/>
      <w:szCs w:val="24"/>
      <w:lang w:val="en-US" w:eastAsia="zh-CN" w:bidi="ar-SA"/>
    </w:rPr>
  </w:style>
  <w:style w:type="character" w:customStyle="1" w:styleId="65">
    <w:name w:val="font11"/>
    <w:basedOn w:val="5"/>
    <w:uiPriority w:val="0"/>
    <w:rPr>
      <w:rFonts w:hint="eastAsia" w:ascii="仿宋_GB2312" w:eastAsia="仿宋_GB2312" w:cs="仿宋_GB2312"/>
      <w:color w:val="000000"/>
      <w:sz w:val="24"/>
      <w:szCs w:val="24"/>
      <w:u w:val="none"/>
    </w:rPr>
  </w:style>
  <w:style w:type="character" w:customStyle="1" w:styleId="66">
    <w:name w:val="font31"/>
    <w:basedOn w:val="5"/>
    <w:uiPriority w:val="0"/>
    <w:rPr>
      <w:rFonts w:hint="default" w:ascii="Times New Roman" w:hAnsi="Times New Roman" w:cs="Times New Roman"/>
      <w:color w:val="000000"/>
      <w:sz w:val="24"/>
      <w:szCs w:val="24"/>
      <w:u w:val="none"/>
    </w:rPr>
  </w:style>
  <w:style w:type="character" w:customStyle="1" w:styleId="67">
    <w:name w:val="font71"/>
    <w:basedOn w:val="5"/>
    <w:uiPriority w:val="0"/>
    <w:rPr>
      <w:rFonts w:hint="eastAsia" w:ascii="仿宋_GB2312" w:eastAsia="仿宋_GB2312" w:cs="仿宋_GB2312"/>
      <w:color w:val="C00000"/>
      <w:sz w:val="24"/>
      <w:szCs w:val="24"/>
      <w:u w:val="none"/>
    </w:rPr>
  </w:style>
  <w:style w:type="character" w:customStyle="1" w:styleId="68">
    <w:name w:val="font81"/>
    <w:basedOn w:val="5"/>
    <w:uiPriority w:val="0"/>
    <w:rPr>
      <w:rFonts w:hint="eastAsia" w:ascii="仿宋_GB2312" w:eastAsia="仿宋_GB2312" w:cs="仿宋_GB2312"/>
      <w:color w:val="000000"/>
      <w:sz w:val="24"/>
      <w:szCs w:val="24"/>
      <w:u w:val="none"/>
    </w:rPr>
  </w:style>
  <w:style w:type="character" w:customStyle="1" w:styleId="69">
    <w:name w:val="font91"/>
    <w:basedOn w:val="5"/>
    <w:uiPriority w:val="0"/>
    <w:rPr>
      <w:rFonts w:hint="default" w:ascii="Times New Roman" w:hAnsi="Times New Roman" w:cs="Times New Roman"/>
      <w:color w:val="000000"/>
      <w:sz w:val="24"/>
      <w:szCs w:val="24"/>
      <w:u w:val="none"/>
    </w:rPr>
  </w:style>
  <w:style w:type="character" w:customStyle="1" w:styleId="70">
    <w:name w:val="font51"/>
    <w:basedOn w:val="5"/>
    <w:qFormat/>
    <w:uiPriority w:val="0"/>
    <w:rPr>
      <w:rFonts w:hint="eastAsia" w:ascii="仿宋_GB2312" w:eastAsia="仿宋_GB2312" w:cs="仿宋_GB2312"/>
      <w:color w:val="FF0000"/>
      <w:sz w:val="24"/>
      <w:szCs w:val="24"/>
      <w:u w:val="non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Microsoft</Company>
  <Pages>20</Pages>
  <Words>11985</Words>
  <Characters>12106</Characters>
  <Lines>3026</Lines>
  <Paragraphs>1267</Paragraphs>
  <TotalTime>83</TotalTime>
  <ScaleCrop>false</ScaleCrop>
  <LinksUpToDate>false</LinksUpToDate>
  <CharactersWithSpaces>22824</CharactersWithSpaces>
  <Application>WPS Office_11.8.2.10393_F1E327BC-269C-435d-A152-05C5408002CA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2022-01-24T09:21:00Z</dcterms:created>
  <dc:creator>曾轶</dc:creator>
  <cp:lastModifiedBy>Administrator</cp:lastModifiedBy>
  <cp:lastPrinted>2025-04-01T03:02:55Z</cp:lastPrinted>
  <dcterms:modified xsi:type="dcterms:W3CDTF">2025-04-01T07:21:04Z</dcterms:modified>
  <cp:revision>32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2052-11.8.2.10393</vt:lpwstr>
  </property>
</Properties>
</file>