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2A28E">
      <w:pPr>
        <w:rPr>
          <w:rFonts w:hint="eastAsia"/>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-113665</wp:posOffset>
                </wp:positionV>
                <wp:extent cx="6012180" cy="8834755"/>
                <wp:effectExtent l="0" t="0" r="7620" b="41910"/>
                <wp:wrapNone/>
                <wp:docPr id="4" name="组合 6"/>
                <wp:cNvGraphicFramePr/>
                <a:graphic xmlns:a="http://schemas.openxmlformats.org/drawingml/2006/main">
                  <a:graphicData uri="http://schemas.microsoft.com/office/word/2010/wordprocessingGroup">
                    <wpg:wgp>
                      <wpg:cNvGrpSpPr/>
                      <wpg:grpSpPr>
                        <a:xfrm>
                          <a:off x="0" y="0"/>
                          <a:ext cx="6012180" cy="8834755"/>
                          <a:chOff x="1276" y="1445"/>
                          <a:chExt cx="9468" cy="14320"/>
                        </a:xfrm>
                      </wpg:grpSpPr>
                      <wps:wsp>
                        <wps:cNvPr id="1" name="文本框 7"/>
                        <wps:cNvSpPr txBox="1"/>
                        <wps:spPr>
                          <a:xfrm>
                            <a:off x="1339" y="1445"/>
                            <a:ext cx="9363" cy="1425"/>
                          </a:xfrm>
                          <a:prstGeom prst="rect">
                            <a:avLst/>
                          </a:prstGeom>
                          <a:noFill/>
                          <a:ln>
                            <a:noFill/>
                          </a:ln>
                        </wps:spPr>
                        <wps:txbx>
                          <w:txbxContent>
                            <w:p w14:paraId="469E8F1A">
                              <w:pPr>
                                <w:jc w:val="center"/>
                                <w:rPr>
                                  <w:rFonts w:hint="eastAsia"/>
                                </w:rPr>
                              </w:pPr>
                              <w:r>
                                <w:rPr>
                                  <w:rFonts w:eastAsia="方正小标宋简体"/>
                                  <w:b/>
                                  <w:color w:val="FF0000"/>
                                  <w:spacing w:val="60"/>
                                  <w:w w:val="90"/>
                                  <w:kern w:val="72"/>
                                  <w:sz w:val="72"/>
                                  <w:szCs w:val="72"/>
                                </w:rPr>
                                <w:t>东莞市住房和城乡建设局</w:t>
                              </w:r>
                            </w:p>
                          </w:txbxContent>
                        </wps:txbx>
                        <wps:bodyPr wrap="square" upright="1"/>
                      </wps:wsp>
                      <wps:wsp>
                        <wps:cNvPr id="2" name="直接连接符 1"/>
                        <wps:cNvCnPr/>
                        <wps:spPr>
                          <a:xfrm>
                            <a:off x="1276" y="2805"/>
                            <a:ext cx="9468" cy="0"/>
                          </a:xfrm>
                          <a:prstGeom prst="line">
                            <a:avLst/>
                          </a:prstGeom>
                          <a:ln w="66675" cap="flat" cmpd="thickThin">
                            <a:solidFill>
                              <a:srgbClr val="FF0000"/>
                            </a:solidFill>
                            <a:prstDash val="solid"/>
                            <a:headEnd type="none" w="med" len="med"/>
                            <a:tailEnd type="none" w="med" len="med"/>
                          </a:ln>
                        </wps:spPr>
                        <wps:bodyPr upright="1"/>
                      </wps:wsp>
                      <wps:wsp>
                        <wps:cNvPr id="3" name="直接连接符 1"/>
                        <wps:cNvCnPr/>
                        <wps:spPr>
                          <a:xfrm>
                            <a:off x="1276" y="15765"/>
                            <a:ext cx="9468" cy="0"/>
                          </a:xfrm>
                          <a:prstGeom prst="line">
                            <a:avLst/>
                          </a:prstGeom>
                          <a:ln w="66675" cap="flat" cmpd="thinThick">
                            <a:solidFill>
                              <a:srgbClr val="FF0000"/>
                            </a:solidFill>
                            <a:prstDash val="solid"/>
                            <a:headEnd type="none" w="med" len="med"/>
                            <a:tailEnd type="none" w="med" len="med"/>
                          </a:ln>
                        </wps:spPr>
                        <wps:bodyPr upright="1"/>
                      </wps:wsp>
                    </wpg:wgp>
                  </a:graphicData>
                </a:graphic>
              </wp:anchor>
            </w:drawing>
          </mc:Choice>
          <mc:Fallback>
            <w:pict>
              <v:group id="组合 6" o:spid="_x0000_s1026" o:spt="203" style="position:absolute;left:0pt;margin-left:-4.4pt;margin-top:-8.95pt;height:695.65pt;width:473.4pt;z-index:251659264;mso-width-relative:page;mso-height-relative:page;" coordorigin="1276,1445" coordsize="9468,14320" o:gfxdata="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DHsNBXbAAAA&#10;CwEAAA8AAAAAAAAAAQAgAAAAIgAAAGRycy9kb3ducmV2LnhtbFBLAQIUABQAAAAIAIdO4kDL6/gi&#10;/gIAALAIAAAOAAAAAAAAAAEAIAAAACoBAABkcnMvZTJvRG9jLnhtbFBLBQYAAAAABgAGAFkBAACa&#10;BgAAAAA=&#10;">
                <o:lock v:ext="edit" aspectratio="f"/>
                <v:shape id="文本框 7" o:spid="_x0000_s1026" o:spt="202" type="#_x0000_t202" style="position:absolute;left:1339;top:1445;height:1425;width:9363;" filled="f" stroked="f" coordsize="21600,21600" o:gfxdata="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avkM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14:paraId="469E8F1A">
                        <w:pPr>
                          <w:jc w:val="center"/>
                          <w:rPr>
                            <w:rFonts w:hint="eastAsia"/>
                          </w:rPr>
                        </w:pPr>
                        <w:r>
                          <w:rPr>
                            <w:rFonts w:eastAsia="方正小标宋简体"/>
                            <w:b/>
                            <w:color w:val="FF0000"/>
                            <w:spacing w:val="60"/>
                            <w:w w:val="90"/>
                            <w:kern w:val="72"/>
                            <w:sz w:val="72"/>
                            <w:szCs w:val="72"/>
                          </w:rPr>
                          <w:t>东莞市住房和城乡建设局</w:t>
                        </w:r>
                      </w:p>
                    </w:txbxContent>
                  </v:textbox>
                </v:shape>
                <v:line id="直接连接符 1" o:spid="_x0000_s1026" o:spt="20" style="position:absolute;left:1276;top:2805;height:0;width:9468;" filled="f" stroked="t" coordsize="21600,21600" o:gfxdata="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V3Uy8AAAA&#10;2gAAAA8AAAAAAAAAAQAgAAAAIgAAAGRycy9kb3ducmV2LnhtbFBLAQIUABQAAAAIAIdO4kAzLwWe&#10;OwAAADkAAAAQAAAAAAAAAAEAIAAAAAsBAABkcnMvc2hhcGV4bWwueG1sUEsFBgAAAAAGAAYAWwEA&#10;ALUDAAAAAA==&#10;">
                  <v:fill on="f" focussize="0,0"/>
                  <v:stroke weight="5.25pt" color="#FF0000" linestyle="thickThin" joinstyle="round"/>
                  <v:imagedata o:title=""/>
                  <o:lock v:ext="edit" aspectratio="f"/>
                </v:line>
                <v:line id="直接连接符 1" o:spid="_x0000_s1026" o:spt="20" style="position:absolute;left:1276;top:15765;height:0;width:9468;" filled="f" stroked="t" coordsize="21600,21600" o:gfxdata="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tmP7sAAADa&#10;AAAADwAAAAAAAAABACAAAAAiAAAAZHJzL2Rvd25yZXYueG1sUEsBAhQAFAAAAAgAh07iQDMvBZ47&#10;AAAAOQAAABAAAAAAAAAAAQAgAAAACgEAAGRycy9zaGFwZXhtbC54bWxQSwUGAAAAAAYABgBbAQAA&#10;tAMAAAAA&#10;">
                  <v:fill on="f" focussize="0,0"/>
                  <v:stroke weight="5.25pt" color="#FF0000" linestyle="thinThick" joinstyle="round"/>
                  <v:imagedata o:title=""/>
                  <o:lock v:ext="edit" aspectratio="f"/>
                </v:line>
              </v:group>
            </w:pict>
          </mc:Fallback>
        </mc:AlternateContent>
      </w:r>
    </w:p>
    <w:p w14:paraId="2CC56BA0">
      <w:pPr>
        <w:rPr>
          <w:rFonts w:hint="eastAsia"/>
        </w:rPr>
      </w:pPr>
    </w:p>
    <w:p w14:paraId="3EB7B2FB">
      <w:pPr>
        <w:rPr>
          <w:rFonts w:hint="eastAsia"/>
        </w:rPr>
      </w:pPr>
    </w:p>
    <w:p w14:paraId="6657DE5A">
      <w:pPr>
        <w:pStyle w:val="4"/>
        <w:ind w:firstLine="272" w:firstLineChars="6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东莞市农民安居房建设管理条例第三方</w:t>
      </w:r>
    </w:p>
    <w:p w14:paraId="42F9911C">
      <w:pPr>
        <w:pStyle w:val="4"/>
        <w:ind w:firstLine="272" w:firstLineChars="62"/>
        <w:jc w:val="center"/>
        <w:rPr>
          <w:rFonts w:hint="eastAsia"/>
        </w:rPr>
      </w:pPr>
      <w:r>
        <w:rPr>
          <w:rFonts w:hint="eastAsia" w:ascii="方正小标宋简体" w:hAnsi="方正小标宋简体" w:eastAsia="方正小标宋简体" w:cs="方正小标宋简体"/>
          <w:sz w:val="44"/>
          <w:szCs w:val="44"/>
          <w:lang w:val="en-US" w:eastAsia="zh-CN"/>
        </w:rPr>
        <w:t>技术服务采购需求书</w:t>
      </w:r>
    </w:p>
    <w:p w14:paraId="42E4380C">
      <w:pPr>
        <w:pStyle w:val="4"/>
        <w:ind w:firstLine="198" w:firstLineChars="62"/>
        <w:jc w:val="center"/>
        <w:rPr>
          <w:rFonts w:hint="eastAsia" w:ascii="Times New Roman" w:hAnsi="Times New Roman" w:cs="Times New Roman"/>
          <w:sz w:val="32"/>
          <w:szCs w:val="32"/>
          <w:lang w:val="en-US" w:eastAsia="zh-CN"/>
        </w:rPr>
      </w:pPr>
    </w:p>
    <w:p w14:paraId="491ED52E">
      <w:pPr>
        <w:pStyle w:val="4"/>
        <w:keepNext w:val="0"/>
        <w:keepLines w:val="0"/>
        <w:pageBreakBefore w:val="0"/>
        <w:widowControl w:val="0"/>
        <w:kinsoku/>
        <w:wordWrap/>
        <w:overflowPunct/>
        <w:topLinePunct w:val="0"/>
        <w:autoSpaceDE/>
        <w:autoSpaceDN/>
        <w:bidi w:val="0"/>
        <w:adjustRightInd/>
        <w:snapToGrid/>
        <w:spacing w:line="520" w:lineRule="exact"/>
        <w:ind w:firstLine="640"/>
        <w:jc w:val="center"/>
        <w:textAlignment w:val="auto"/>
        <w:rPr>
          <w:rFonts w:hint="default" w:ascii="Times New Roman" w:hAnsi="Times New Roman" w:cs="Times New Roman"/>
          <w:b/>
          <w:bCs/>
          <w:lang w:val="en-US" w:eastAsia="zh-CN"/>
        </w:rPr>
      </w:pPr>
      <w:r>
        <w:rPr>
          <w:rFonts w:hint="eastAsia" w:ascii="Times New Roman" w:hAnsi="Times New Roman" w:eastAsia="黑体" w:cs="Times New Roman"/>
          <w:kern w:val="2"/>
          <w:sz w:val="32"/>
          <w:szCs w:val="32"/>
          <w:lang w:val="en-US" w:eastAsia="zh-CN" w:bidi="ar-SA"/>
        </w:rPr>
        <w:t>第一部分项目基本情况</w:t>
      </w:r>
    </w:p>
    <w:p w14:paraId="7212C7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Cs w:val="32"/>
          <w:lang w:val="en-US" w:eastAsia="zh-CN"/>
        </w:rPr>
      </w:pPr>
      <w:r>
        <w:rPr>
          <w:rFonts w:hint="eastAsia" w:ascii="Times New Roman" w:hAnsi="Times New Roman" w:eastAsia="黑体" w:cs="Times New Roman"/>
          <w:szCs w:val="32"/>
          <w:lang w:val="en-US" w:eastAsia="zh-CN"/>
        </w:rPr>
        <w:t>一、采购人名称</w:t>
      </w:r>
    </w:p>
    <w:p w14:paraId="1460CE54">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lang w:val="en-US" w:eastAsia="zh-CN"/>
        </w:rPr>
      </w:pPr>
      <w:r>
        <w:rPr>
          <w:rFonts w:hint="eastAsia" w:ascii="Times New Roman" w:hAnsi="Times New Roman" w:cs="Times New Roman"/>
          <w:szCs w:val="32"/>
          <w:lang w:val="en-US" w:eastAsia="zh-CN"/>
        </w:rPr>
        <w:t>东莞市住房和城乡建设局</w:t>
      </w:r>
    </w:p>
    <w:p w14:paraId="5FD6A0BE">
      <w:pPr>
        <w:pStyle w:val="4"/>
        <w:keepNext w:val="0"/>
        <w:keepLines w:val="0"/>
        <w:pageBreakBefore w:val="0"/>
        <w:widowControl w:val="0"/>
        <w:kinsoku/>
        <w:wordWrap/>
        <w:overflowPunct/>
        <w:topLinePunct w:val="0"/>
        <w:autoSpaceDE/>
        <w:autoSpaceDN/>
        <w:bidi w:val="0"/>
        <w:adjustRightInd/>
        <w:snapToGrid/>
        <w:spacing w:line="520" w:lineRule="exact"/>
        <w:ind w:firstLine="640"/>
        <w:textAlignment w:val="auto"/>
      </w:pPr>
      <w:r>
        <w:rPr>
          <w:rFonts w:hint="eastAsia" w:ascii="黑体" w:hAnsi="黑体" w:eastAsia="黑体" w:cs="黑体"/>
          <w:b w:val="0"/>
          <w:bCs w:val="0"/>
          <w:sz w:val="32"/>
          <w:szCs w:val="32"/>
          <w:lang w:val="en-US" w:eastAsia="zh-CN"/>
        </w:rPr>
        <w:t>二、采购项目名称</w:t>
      </w:r>
    </w:p>
    <w:p w14:paraId="61A8B1B3">
      <w:pPr>
        <w:ind w:firstLine="640" w:firstLineChars="200"/>
        <w:rPr>
          <w:rFonts w:hint="eastAsia" w:ascii="仿宋_GB2312" w:eastAsia="仿宋_GB2312"/>
          <w:sz w:val="32"/>
          <w:lang w:eastAsia="zh-CN"/>
        </w:rPr>
      </w:pPr>
      <w:r>
        <w:rPr>
          <w:rFonts w:hint="eastAsia" w:ascii="仿宋_GB2312" w:eastAsia="仿宋_GB2312"/>
          <w:sz w:val="32"/>
        </w:rPr>
        <w:t>东莞市住房和城乡建设局关于《东莞市农民安居房建设管理条例》立法的第三方技术服务项目采购</w:t>
      </w:r>
      <w:r>
        <w:rPr>
          <w:rFonts w:hint="eastAsia" w:ascii="仿宋_GB2312" w:eastAsia="仿宋_GB2312"/>
          <w:sz w:val="32"/>
          <w:lang w:eastAsia="zh-CN"/>
        </w:rPr>
        <w:t>。</w:t>
      </w:r>
    </w:p>
    <w:p w14:paraId="5145039D">
      <w:pPr>
        <w:pStyle w:val="19"/>
        <w:numPr>
          <w:ilvl w:val="0"/>
          <w:numId w:val="0"/>
        </w:numPr>
        <w:ind w:leftChars="0" w:firstLine="640" w:firstLineChars="200"/>
        <w:rPr>
          <w:rFonts w:hint="eastAsia" w:ascii="楷体_GB2312" w:hAnsi="楷体_GB2312" w:eastAsia="楷体_GB2312" w:cs="楷体_GB2312"/>
          <w:sz w:val="32"/>
        </w:rPr>
      </w:pPr>
      <w:r>
        <w:rPr>
          <w:rFonts w:hint="eastAsia" w:ascii="黑体" w:hAnsi="黑体" w:eastAsia="黑体" w:cs="黑体"/>
          <w:b w:val="0"/>
          <w:bCs/>
          <w:sz w:val="32"/>
          <w:lang w:val="en-US" w:eastAsia="zh-CN"/>
        </w:rPr>
        <w:t>三、</w:t>
      </w:r>
      <w:r>
        <w:rPr>
          <w:rFonts w:hint="eastAsia" w:ascii="黑体" w:hAnsi="黑体" w:eastAsia="黑体" w:cs="黑体"/>
          <w:b w:val="0"/>
          <w:bCs/>
          <w:sz w:val="32"/>
        </w:rPr>
        <w:t>项目概况</w:t>
      </w:r>
    </w:p>
    <w:p w14:paraId="5FFA7A7C">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eastAsia="仿宋_GB2312"/>
          <w:sz w:val="32"/>
          <w:lang w:eastAsia="zh-CN"/>
        </w:rPr>
      </w:pPr>
      <w:r>
        <w:rPr>
          <w:rFonts w:hint="eastAsia" w:ascii="仿宋_GB2312" w:eastAsia="仿宋_GB2312"/>
          <w:sz w:val="32"/>
          <w:lang w:val="en-US" w:eastAsia="zh-CN"/>
        </w:rPr>
        <w:t>根据东莞市人大常委会立法规划和工作部署，结合市委市政府的要求</w:t>
      </w:r>
      <w:r>
        <w:rPr>
          <w:rFonts w:hint="eastAsia" w:ascii="仿宋_GB2312" w:eastAsia="仿宋_GB2312"/>
          <w:sz w:val="32"/>
        </w:rPr>
        <w:t>，</w:t>
      </w:r>
      <w:r>
        <w:rPr>
          <w:rFonts w:hint="eastAsia" w:ascii="仿宋_GB2312"/>
          <w:sz w:val="32"/>
          <w:lang w:eastAsia="zh-CN"/>
        </w:rPr>
        <w:t>需</w:t>
      </w:r>
      <w:r>
        <w:rPr>
          <w:rFonts w:hint="eastAsia" w:ascii="仿宋_GB2312" w:eastAsia="仿宋_GB2312"/>
          <w:sz w:val="32"/>
        </w:rPr>
        <w:t>通过农民安居房建设管理立法工作，促进农民建房管理体系更加成熟定型，为农民建房提供全过程的法治保障，为东莞市高质量发展提供有力支撑。规范和加强我市农房管理，引导土地资源节约集约利用，执行好土地利用总体规划和城镇总体规划，关系城市的</w:t>
      </w:r>
      <w:r>
        <w:rPr>
          <w:rFonts w:hint="eastAsia" w:ascii="仿宋_GB2312"/>
          <w:sz w:val="32"/>
          <w:lang w:eastAsia="zh-CN"/>
        </w:rPr>
        <w:t>长远发展，意义重大。我局现通过采购第三方技术服务的形式，协助开展</w:t>
      </w:r>
      <w:r>
        <w:rPr>
          <w:rFonts w:hint="eastAsia" w:ascii="仿宋_GB2312" w:eastAsia="仿宋_GB2312"/>
          <w:sz w:val="32"/>
        </w:rPr>
        <w:t>东莞市农民安居房建设管理条例</w:t>
      </w:r>
      <w:r>
        <w:rPr>
          <w:rFonts w:hint="eastAsia" w:ascii="仿宋_GB2312" w:eastAsia="仿宋_GB2312"/>
          <w:sz w:val="32"/>
          <w:lang w:val="en-US" w:eastAsia="zh-CN"/>
        </w:rPr>
        <w:t>立法项目</w:t>
      </w:r>
      <w:r>
        <w:rPr>
          <w:rFonts w:hint="eastAsia" w:ascii="仿宋_GB2312"/>
          <w:sz w:val="32"/>
          <w:lang w:val="en-US" w:eastAsia="zh-CN"/>
        </w:rPr>
        <w:t>。</w:t>
      </w:r>
    </w:p>
    <w:p w14:paraId="69F50A43">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eastAsia="仿宋_GB2312"/>
          <w:sz w:val="32"/>
          <w:lang w:val="en-US" w:eastAsia="zh-CN"/>
        </w:rPr>
      </w:pPr>
    </w:p>
    <w:p w14:paraId="5D178396">
      <w:pPr>
        <w:pStyle w:val="4"/>
        <w:keepNext w:val="0"/>
        <w:keepLines w:val="0"/>
        <w:pageBreakBefore w:val="0"/>
        <w:widowControl w:val="0"/>
        <w:kinsoku/>
        <w:wordWrap/>
        <w:overflowPunct/>
        <w:topLinePunct w:val="0"/>
        <w:autoSpaceDE/>
        <w:autoSpaceDN/>
        <w:bidi w:val="0"/>
        <w:adjustRightInd/>
        <w:snapToGrid/>
        <w:spacing w:line="520" w:lineRule="exact"/>
        <w:ind w:firstLine="640"/>
        <w:jc w:val="center"/>
        <w:textAlignment w:val="auto"/>
        <w:rPr>
          <w:rFonts w:hint="default" w:ascii="Times New Roman" w:hAnsi="Times New Roman" w:cs="Times New Roman"/>
          <w:b/>
          <w:bCs/>
          <w:lang w:val="en-US" w:eastAsia="zh-CN"/>
        </w:rPr>
      </w:pPr>
      <w:r>
        <w:rPr>
          <w:rFonts w:hint="eastAsia" w:ascii="Times New Roman" w:hAnsi="Times New Roman" w:eastAsia="黑体" w:cs="Times New Roman"/>
          <w:kern w:val="2"/>
          <w:sz w:val="32"/>
          <w:szCs w:val="32"/>
          <w:lang w:val="en-US" w:eastAsia="zh-CN" w:bidi="ar-SA"/>
        </w:rPr>
        <w:t>第二部分采购需求</w:t>
      </w:r>
    </w:p>
    <w:p w14:paraId="4BADAE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Cs w:val="32"/>
          <w:lang w:val="en-US" w:eastAsia="zh-CN"/>
        </w:rPr>
      </w:pPr>
      <w:r>
        <w:rPr>
          <w:rFonts w:hint="eastAsia" w:ascii="Times New Roman" w:hAnsi="Times New Roman" w:eastAsia="黑体" w:cs="Times New Roman"/>
          <w:szCs w:val="32"/>
          <w:lang w:val="en-US" w:eastAsia="zh-CN"/>
        </w:rPr>
        <w:t>一、服务总体要求</w:t>
      </w:r>
    </w:p>
    <w:p w14:paraId="076C41D1">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lang w:val="en-US" w:eastAsia="zh-CN"/>
        </w:rPr>
      </w:pPr>
      <w:r>
        <w:rPr>
          <w:rFonts w:hint="eastAsia" w:ascii="Times New Roman" w:hAnsi="Times New Roman" w:cs="Times New Roman"/>
          <w:szCs w:val="32"/>
          <w:lang w:val="en-US" w:eastAsia="zh-CN"/>
        </w:rPr>
        <w:t>根据规范性文件管理有关要求，按照‘从严从紧’原则，研究修订《东莞市农民安居房管理办法》，进一步通过立法强化农房管控，要结合全市‘百千万工程’、城中村改造、国土空间规划、‘拓空间’工作等实际要求，完善农房建设管理相关规定，为东莞市高质量发展谋划更大更优连片空间夯实可持续发展根基。</w:t>
      </w:r>
    </w:p>
    <w:p w14:paraId="736D8E75">
      <w:pPr>
        <w:pStyle w:val="4"/>
        <w:keepNext w:val="0"/>
        <w:keepLines w:val="0"/>
        <w:pageBreakBefore w:val="0"/>
        <w:widowControl w:val="0"/>
        <w:kinsoku/>
        <w:wordWrap/>
        <w:overflowPunct/>
        <w:topLinePunct w:val="0"/>
        <w:autoSpaceDE/>
        <w:autoSpaceDN/>
        <w:bidi w:val="0"/>
        <w:adjustRightInd/>
        <w:snapToGrid/>
        <w:spacing w:line="520" w:lineRule="exact"/>
        <w:ind w:firstLine="640"/>
        <w:textAlignment w:val="auto"/>
      </w:pPr>
      <w:r>
        <w:rPr>
          <w:rFonts w:hint="eastAsia" w:ascii="黑体" w:hAnsi="黑体" w:eastAsia="黑体" w:cs="黑体"/>
          <w:b w:val="0"/>
          <w:bCs w:val="0"/>
          <w:sz w:val="32"/>
          <w:szCs w:val="32"/>
          <w:lang w:val="en-US" w:eastAsia="zh-CN"/>
        </w:rPr>
        <w:t>二、服务具体要求</w:t>
      </w:r>
    </w:p>
    <w:p w14:paraId="2141372B">
      <w:pPr>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（一）工作内容</w:t>
      </w:r>
    </w:p>
    <w:p w14:paraId="4F3B11EE">
      <w:pPr>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w:t>
      </w:r>
      <w:r>
        <w:rPr>
          <w:rFonts w:hint="default" w:ascii="Times New Roman" w:hAnsi="Times New Roman" w:cs="Times New Roman"/>
          <w:sz w:val="32"/>
          <w:lang w:val="en-US" w:eastAsia="zh-CN"/>
        </w:rPr>
        <w:t>协助</w:t>
      </w:r>
      <w:r>
        <w:rPr>
          <w:rFonts w:hint="default" w:ascii="Times New Roman" w:hAnsi="Times New Roman" w:eastAsia="仿宋_GB2312" w:cs="Times New Roman"/>
          <w:sz w:val="32"/>
        </w:rPr>
        <w:t>编制立法基础研究报告。报告内容包括现状调研论证、重点立法问题研究、先进城市案例研究等，为草案起草提供观点和依据支撑。</w:t>
      </w:r>
    </w:p>
    <w:p w14:paraId="0F763890">
      <w:pPr>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2.协助全流程立法起草及改稿论证工作。草案经市司法局、市人大和省人大审议期间，配合立法起草工作小组进行改稿论证，直至省人大审批或备案完成。</w:t>
      </w:r>
    </w:p>
    <w:p w14:paraId="2BC039B5">
      <w:pPr>
        <w:ind w:firstLine="640" w:firstLineChars="200"/>
        <w:rPr>
          <w:rFonts w:hint="default" w:ascii="Times New Roman" w:hAnsi="Times New Roman" w:eastAsia="楷体_GB2312" w:cs="Times New Roman"/>
          <w:sz w:val="32"/>
        </w:rPr>
      </w:pPr>
      <w:r>
        <w:rPr>
          <w:rFonts w:hint="default" w:ascii="Times New Roman" w:hAnsi="Times New Roman" w:eastAsia="楷体_GB2312" w:cs="Times New Roman"/>
          <w:sz w:val="32"/>
        </w:rPr>
        <w:t>（二）项目成果</w:t>
      </w:r>
      <w:bookmarkStart w:id="0" w:name="_GoBack"/>
      <w:bookmarkEnd w:id="0"/>
    </w:p>
    <w:p w14:paraId="0ACEE25A">
      <w:pPr>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1.《东莞市农民安居房建设管理条例》注释、重点条款情况说明，依据文件、参考文件等立法全流程有关文件；</w:t>
      </w:r>
    </w:p>
    <w:p w14:paraId="01BFE35E">
      <w:pPr>
        <w:ind w:firstLine="640" w:firstLineChars="200"/>
        <w:rPr>
          <w:rFonts w:ascii="仿宋_GB2312" w:eastAsia="仿宋_GB2312"/>
          <w:sz w:val="32"/>
        </w:rPr>
      </w:pPr>
      <w:r>
        <w:rPr>
          <w:rFonts w:hint="default" w:ascii="Times New Roman" w:hAnsi="Times New Roman" w:eastAsia="仿宋_GB2312" w:cs="Times New Roman"/>
          <w:sz w:val="32"/>
        </w:rPr>
        <w:t>2.《东莞市农民安居房建设管理条例》基础研</w:t>
      </w:r>
      <w:r>
        <w:rPr>
          <w:rFonts w:hint="eastAsia" w:ascii="仿宋_GB2312" w:eastAsia="仿宋_GB2312"/>
          <w:sz w:val="32"/>
        </w:rPr>
        <w:t>究报告。</w:t>
      </w:r>
    </w:p>
    <w:p w14:paraId="761C7EB9">
      <w:pPr>
        <w:pStyle w:val="19"/>
        <w:numPr>
          <w:ilvl w:val="0"/>
          <w:numId w:val="0"/>
        </w:numPr>
        <w:ind w:leftChars="0" w:firstLine="640" w:firstLineChars="200"/>
        <w:rPr>
          <w:rFonts w:hint="default" w:ascii="黑体" w:hAnsi="黑体" w:eastAsia="黑体" w:cs="黑体"/>
          <w:b w:val="0"/>
          <w:bCs/>
          <w:sz w:val="32"/>
          <w:lang w:val="en-US" w:eastAsia="zh-CN"/>
        </w:rPr>
      </w:pPr>
      <w:r>
        <w:rPr>
          <w:rFonts w:hint="eastAsia" w:ascii="黑体" w:hAnsi="黑体" w:eastAsia="黑体" w:cs="黑体"/>
          <w:b w:val="0"/>
          <w:bCs/>
          <w:sz w:val="32"/>
          <w:lang w:val="en-US" w:eastAsia="zh-CN"/>
        </w:rPr>
        <w:t>三、供应商资质要求</w:t>
      </w:r>
    </w:p>
    <w:p w14:paraId="0EC5263E">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供应商应具备《政府采购法》第二十二条规定的条件:</w:t>
      </w:r>
    </w:p>
    <w:p w14:paraId="08489B06">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Cs w:val="32"/>
          <w:lang w:val="en-US" w:eastAsia="zh-CN"/>
        </w:rPr>
      </w:pPr>
      <w:r>
        <w:rPr>
          <w:rFonts w:hint="eastAsia" w:ascii="楷体_GB2312" w:hAnsi="楷体_GB2312" w:eastAsia="楷体_GB2312" w:cs="楷体_GB2312"/>
          <w:sz w:val="32"/>
          <w:lang w:val="en-US" w:eastAsia="zh-CN"/>
        </w:rPr>
        <w:t>（一）</w:t>
      </w:r>
      <w:r>
        <w:rPr>
          <w:rFonts w:hint="eastAsia" w:ascii="Times New Roman" w:hAnsi="Times New Roman" w:cs="Times New Roman"/>
          <w:szCs w:val="32"/>
          <w:lang w:val="en-US" w:eastAsia="zh-CN"/>
        </w:rPr>
        <w:t>供应商必须是具有独立承担民事责任能力的在中华人民共和国境内注册的法人或其他组织或自然人，初次报价响应文件提交有效的营业执照(或事业法人登记证或身份证等相关证明)副本复印件。</w:t>
      </w:r>
    </w:p>
    <w:p w14:paraId="78EA67A0">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Cs w:val="32"/>
          <w:lang w:val="en-US" w:eastAsia="zh-CN"/>
        </w:rPr>
      </w:pPr>
      <w:r>
        <w:rPr>
          <w:rFonts w:hint="eastAsia" w:ascii="楷体_GB2312" w:hAnsi="楷体_GB2312" w:eastAsia="楷体_GB2312" w:cs="楷体_GB2312"/>
          <w:sz w:val="32"/>
          <w:lang w:val="en-US" w:eastAsia="zh-CN"/>
        </w:rPr>
        <w:t>（二）</w:t>
      </w:r>
      <w:r>
        <w:rPr>
          <w:rFonts w:hint="eastAsia" w:ascii="Times New Roman" w:hAnsi="Times New Roman" w:cs="Times New Roman"/>
          <w:szCs w:val="32"/>
          <w:lang w:val="en-US" w:eastAsia="zh-CN"/>
        </w:rPr>
        <w:t>供应商必须具有良好的商业信誉和健全的财务会计制度(提供上一年度财务状况报告或基本开户行出具的资信证明)</w:t>
      </w:r>
    </w:p>
    <w:p w14:paraId="0519B74C">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Cs w:val="32"/>
          <w:lang w:val="en-US" w:eastAsia="zh-CN"/>
        </w:rPr>
      </w:pPr>
      <w:r>
        <w:rPr>
          <w:rFonts w:hint="eastAsia" w:ascii="楷体_GB2312" w:hAnsi="楷体_GB2312" w:eastAsia="楷体_GB2312" w:cs="楷体_GB2312"/>
          <w:sz w:val="32"/>
          <w:lang w:val="en-US" w:eastAsia="zh-CN"/>
        </w:rPr>
        <w:t>（三）</w:t>
      </w:r>
      <w:r>
        <w:rPr>
          <w:rFonts w:hint="eastAsia" w:ascii="Times New Roman" w:hAnsi="Times New Roman" w:cs="Times New Roman"/>
          <w:szCs w:val="32"/>
          <w:lang w:val="en-US" w:eastAsia="zh-CN"/>
        </w:rPr>
        <w:t>具备履行合同所必需的设备和专业技术能力。</w:t>
      </w:r>
    </w:p>
    <w:p w14:paraId="4CC009B9">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Cs w:val="32"/>
          <w:lang w:val="en-US" w:eastAsia="zh-CN"/>
        </w:rPr>
      </w:pPr>
      <w:r>
        <w:rPr>
          <w:rFonts w:hint="eastAsia" w:ascii="楷体_GB2312" w:hAnsi="楷体_GB2312" w:eastAsia="楷体_GB2312" w:cs="楷体_GB2312"/>
          <w:sz w:val="32"/>
          <w:lang w:val="en-US" w:eastAsia="zh-CN"/>
        </w:rPr>
        <w:t>（四）</w:t>
      </w:r>
      <w:r>
        <w:rPr>
          <w:rFonts w:hint="eastAsia" w:ascii="Times New Roman" w:hAnsi="Times New Roman" w:cs="Times New Roman"/>
          <w:szCs w:val="32"/>
          <w:lang w:val="en-US" w:eastAsia="zh-CN"/>
        </w:rPr>
        <w:t>有依法缴纳税收和社会保障资金的良好记录(提供报价截止日前6个月内任意1个月依法缴纳税收和社会保障资金的相关材料。如依法免税或不需要缴纳社会保障资金的，提供相应证明材料)。</w:t>
      </w:r>
    </w:p>
    <w:p w14:paraId="7093A9C9">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Cs w:val="32"/>
          <w:lang w:val="en-US" w:eastAsia="zh-CN"/>
        </w:rPr>
      </w:pPr>
      <w:r>
        <w:rPr>
          <w:rFonts w:hint="eastAsia" w:ascii="楷体_GB2312" w:hAnsi="楷体_GB2312" w:eastAsia="楷体_GB2312" w:cs="楷体_GB2312"/>
          <w:sz w:val="32"/>
          <w:lang w:val="en-US" w:eastAsia="zh-CN"/>
        </w:rPr>
        <w:t>（五）</w:t>
      </w:r>
      <w:r>
        <w:rPr>
          <w:rFonts w:hint="eastAsia" w:ascii="Times New Roman" w:hAnsi="Times New Roman" w:cs="Times New Roman"/>
          <w:szCs w:val="32"/>
          <w:lang w:val="en-US" w:eastAsia="zh-CN"/>
        </w:rPr>
        <w:t>供应商参加政府采购活动前三年内，在经营活动中没有重大违法记录。</w:t>
      </w:r>
    </w:p>
    <w:p w14:paraId="1E441C41">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Cs w:val="32"/>
          <w:lang w:val="en-US" w:eastAsia="zh-CN"/>
        </w:rPr>
      </w:pPr>
      <w:r>
        <w:rPr>
          <w:rFonts w:hint="eastAsia" w:ascii="楷体_GB2312" w:hAnsi="楷体_GB2312" w:eastAsia="楷体_GB2312" w:cs="楷体_GB2312"/>
          <w:sz w:val="32"/>
          <w:lang w:val="en-US" w:eastAsia="zh-CN"/>
        </w:rPr>
        <w:t>（六）</w:t>
      </w:r>
      <w:r>
        <w:rPr>
          <w:rFonts w:hint="eastAsia" w:ascii="Times New Roman" w:hAnsi="Times New Roman" w:cs="Times New Roman"/>
          <w:szCs w:val="32"/>
          <w:lang w:val="en-US" w:eastAsia="zh-CN"/>
        </w:rPr>
        <w:t>供应商必须符合法律、行政法规规定的其他条件。</w:t>
      </w:r>
    </w:p>
    <w:p w14:paraId="4475A25B">
      <w:pPr>
        <w:pStyle w:val="19"/>
        <w:numPr>
          <w:ilvl w:val="0"/>
          <w:numId w:val="0"/>
        </w:numPr>
        <w:ind w:leftChars="0" w:firstLine="640" w:firstLineChars="200"/>
        <w:rPr>
          <w:rFonts w:hint="default" w:ascii="黑体" w:hAnsi="黑体" w:eastAsia="黑体" w:cs="黑体"/>
          <w:b w:val="0"/>
          <w:bCs/>
          <w:sz w:val="32"/>
          <w:lang w:val="en-US" w:eastAsia="zh-CN"/>
        </w:rPr>
      </w:pPr>
      <w:r>
        <w:rPr>
          <w:rFonts w:hint="eastAsia" w:ascii="黑体" w:hAnsi="黑体" w:eastAsia="黑体" w:cs="黑体"/>
          <w:b w:val="0"/>
          <w:bCs/>
          <w:sz w:val="32"/>
          <w:lang w:val="en-US" w:eastAsia="zh-CN"/>
        </w:rPr>
        <w:t>四、进度要求</w:t>
      </w:r>
    </w:p>
    <w:p w14:paraId="3D42CC87">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Cs w:val="32"/>
          <w:lang w:val="en-US" w:eastAsia="zh-CN"/>
        </w:rPr>
      </w:pPr>
      <w:r>
        <w:rPr>
          <w:rFonts w:hint="eastAsia" w:ascii="楷体_GB2312" w:hAnsi="楷体_GB2312" w:eastAsia="楷体_GB2312" w:cs="楷体_GB2312"/>
          <w:sz w:val="32"/>
          <w:lang w:val="en-US" w:eastAsia="zh-CN"/>
        </w:rPr>
        <w:t>（一）</w:t>
      </w:r>
      <w:r>
        <w:rPr>
          <w:rFonts w:hint="eastAsia" w:ascii="Times New Roman" w:hAnsi="Times New Roman" w:cs="Times New Roman"/>
          <w:szCs w:val="32"/>
          <w:lang w:val="en-US" w:eastAsia="zh-CN"/>
        </w:rPr>
        <w:t>2024年11月底前，乙方协助甲方完成《东莞市农民安居房建设管理条例》（草案）送审稿及其注释稿、起草说明，附依据文件、参考文件等有关文件，报市司法局审查。</w:t>
      </w:r>
    </w:p>
    <w:p w14:paraId="42C4558D">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Cs w:val="32"/>
          <w:lang w:val="en-US" w:eastAsia="zh-CN"/>
        </w:rPr>
      </w:pPr>
      <w:r>
        <w:rPr>
          <w:rFonts w:hint="eastAsia" w:ascii="楷体_GB2312" w:hAnsi="楷体_GB2312" w:eastAsia="楷体_GB2312" w:cs="楷体_GB2312"/>
          <w:sz w:val="32"/>
          <w:lang w:val="en-US" w:eastAsia="zh-CN"/>
        </w:rPr>
        <w:t>（二）</w:t>
      </w:r>
      <w:r>
        <w:rPr>
          <w:rFonts w:hint="eastAsia" w:ascii="Times New Roman" w:hAnsi="Times New Roman" w:cs="Times New Roman"/>
          <w:szCs w:val="32"/>
          <w:lang w:val="en-US" w:eastAsia="zh-CN"/>
        </w:rPr>
        <w:t>2024年12月1日-2025年2月28日，乙方协助甲方配合市司法局审查，开展改稿论证工作。</w:t>
      </w:r>
    </w:p>
    <w:p w14:paraId="1A9DCBA3">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Cs w:val="32"/>
          <w:lang w:val="en-US" w:eastAsia="zh-CN"/>
        </w:rPr>
      </w:pPr>
      <w:r>
        <w:rPr>
          <w:rFonts w:hint="eastAsia" w:ascii="楷体_GB2312" w:hAnsi="楷体_GB2312" w:eastAsia="楷体_GB2312" w:cs="楷体_GB2312"/>
          <w:sz w:val="32"/>
          <w:lang w:val="en-US" w:eastAsia="zh-CN"/>
        </w:rPr>
        <w:t>（三）</w:t>
      </w:r>
      <w:r>
        <w:rPr>
          <w:rFonts w:hint="eastAsia" w:ascii="Times New Roman" w:hAnsi="Times New Roman" w:cs="Times New Roman"/>
          <w:szCs w:val="32"/>
          <w:lang w:val="en-US" w:eastAsia="zh-CN"/>
        </w:rPr>
        <w:t>2025年3月1日-8月31日，乙方协助甲方配合市人大常委会审议，开展改稿论证工作。</w:t>
      </w:r>
    </w:p>
    <w:p w14:paraId="7FF81E8E">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Cs w:val="32"/>
          <w:lang w:val="en-US" w:eastAsia="zh-CN"/>
        </w:rPr>
      </w:pPr>
      <w:r>
        <w:rPr>
          <w:rFonts w:hint="eastAsia" w:ascii="楷体_GB2312" w:hAnsi="楷体_GB2312" w:eastAsia="楷体_GB2312" w:cs="楷体_GB2312"/>
          <w:sz w:val="32"/>
          <w:lang w:val="en-US" w:eastAsia="zh-CN"/>
        </w:rPr>
        <w:t>（四）</w:t>
      </w:r>
      <w:r>
        <w:rPr>
          <w:rFonts w:hint="eastAsia" w:ascii="Times New Roman" w:hAnsi="Times New Roman" w:cs="Times New Roman"/>
          <w:szCs w:val="32"/>
          <w:lang w:val="en-US" w:eastAsia="zh-CN"/>
        </w:rPr>
        <w:t>2025年9月1日-11月30日，乙方协助甲方配合省人大常委会审批，开展改稿论证工作。</w:t>
      </w:r>
    </w:p>
    <w:p w14:paraId="20722528">
      <w:pPr>
        <w:pStyle w:val="19"/>
        <w:numPr>
          <w:ilvl w:val="0"/>
          <w:numId w:val="0"/>
        </w:numPr>
        <w:ind w:leftChars="0" w:firstLine="640" w:firstLineChars="200"/>
        <w:rPr>
          <w:rFonts w:hint="default" w:ascii="黑体" w:hAnsi="黑体" w:eastAsia="黑体" w:cs="黑体"/>
          <w:b w:val="0"/>
          <w:bCs/>
          <w:sz w:val="32"/>
          <w:lang w:val="en-US" w:eastAsia="zh-CN"/>
        </w:rPr>
      </w:pPr>
      <w:r>
        <w:rPr>
          <w:rFonts w:hint="eastAsia" w:ascii="黑体" w:hAnsi="黑体" w:eastAsia="黑体" w:cs="黑体"/>
          <w:b w:val="0"/>
          <w:bCs/>
          <w:sz w:val="32"/>
          <w:lang w:val="en-US" w:eastAsia="zh-CN"/>
        </w:rPr>
        <w:t>五、响应报价说明</w:t>
      </w:r>
    </w:p>
    <w:p w14:paraId="2AAF4D44">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Cs w:val="32"/>
          <w:lang w:val="en-US" w:eastAsia="zh-CN"/>
        </w:rPr>
      </w:pPr>
      <w:r>
        <w:rPr>
          <w:rFonts w:hint="eastAsia" w:ascii="楷体_GB2312" w:hAnsi="楷体_GB2312" w:eastAsia="楷体_GB2312" w:cs="楷体_GB2312"/>
          <w:sz w:val="32"/>
          <w:lang w:val="en-US" w:eastAsia="zh-CN"/>
        </w:rPr>
        <w:t>（一）</w:t>
      </w:r>
      <w:r>
        <w:rPr>
          <w:rFonts w:hint="eastAsia" w:ascii="Times New Roman" w:hAnsi="Times New Roman" w:cs="Times New Roman"/>
          <w:szCs w:val="32"/>
          <w:lang w:val="en-US" w:eastAsia="zh-CN"/>
        </w:rPr>
        <w:t>本项目费用包含完成本项目所有服务内容的费用，包含各种税务费、验收费及项目实施过程中的可预见费用等完成项目规定责任和义务、达到项目目的的一切费用，除合同另有约定外，甲方不再支付任何其他费用。</w:t>
      </w:r>
    </w:p>
    <w:p w14:paraId="7CE4DF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lang w:eastAsia="zh-CN"/>
        </w:rPr>
      </w:pPr>
      <w:r>
        <w:rPr>
          <w:rFonts w:hint="eastAsia" w:ascii="楷体_GB2312" w:hAnsi="楷体_GB2312" w:eastAsia="楷体_GB2312" w:cs="楷体_GB2312"/>
          <w:sz w:val="32"/>
          <w:lang w:val="en-US" w:eastAsia="zh-CN"/>
        </w:rPr>
        <w:t>（二）</w:t>
      </w:r>
      <w:r>
        <w:rPr>
          <w:rFonts w:hint="eastAsia" w:ascii="仿宋_GB2312" w:eastAsia="仿宋_GB2312"/>
          <w:sz w:val="32"/>
        </w:rPr>
        <w:t>凡有意参与的技术服务</w:t>
      </w:r>
      <w:r>
        <w:rPr>
          <w:rFonts w:ascii="仿宋_GB2312" w:eastAsia="仿宋_GB2312"/>
          <w:sz w:val="32"/>
        </w:rPr>
        <w:t>团队</w:t>
      </w:r>
      <w:r>
        <w:rPr>
          <w:rFonts w:hint="eastAsia" w:ascii="仿宋_GB2312" w:eastAsia="仿宋_GB2312"/>
          <w:sz w:val="32"/>
        </w:rPr>
        <w:t>，</w:t>
      </w:r>
      <w:r>
        <w:rPr>
          <w:rFonts w:hint="eastAsia" w:ascii="仿宋_GB2312"/>
          <w:sz w:val="32"/>
          <w:lang w:eastAsia="zh-CN"/>
        </w:rPr>
        <w:t>根据本需求书要求资质和评审要求逐条响应，编制响应文件。</w:t>
      </w:r>
      <w:r>
        <w:rPr>
          <w:rFonts w:hint="eastAsia" w:ascii="仿宋_GB2312" w:eastAsia="仿宋_GB2312"/>
          <w:sz w:val="32"/>
        </w:rPr>
        <w:t>请于</w:t>
      </w:r>
      <w:r>
        <w:rPr>
          <w:rFonts w:hint="eastAsia" w:ascii="Times New Roman" w:hAnsi="Times New Roman" w:eastAsia="仿宋_GB2312" w:cs="Times New Roman"/>
          <w:sz w:val="32"/>
          <w:lang w:val="en-US" w:eastAsia="zh-CN"/>
        </w:rPr>
        <w:t>2024年</w:t>
      </w:r>
      <w:r>
        <w:rPr>
          <w:rFonts w:hint="eastAsia" w:cs="Times New Roman"/>
          <w:sz w:val="32"/>
          <w:lang w:val="en-US" w:eastAsia="zh-CN"/>
        </w:rPr>
        <w:t>9</w:t>
      </w:r>
      <w:r>
        <w:rPr>
          <w:rFonts w:hint="eastAsia" w:ascii="Times New Roman" w:hAnsi="Times New Roman" w:eastAsia="仿宋_GB2312" w:cs="Times New Roman"/>
          <w:sz w:val="32"/>
        </w:rPr>
        <w:t>月</w:t>
      </w:r>
      <w:r>
        <w:rPr>
          <w:rFonts w:hint="eastAsia" w:cs="Times New Roman"/>
          <w:sz w:val="32"/>
          <w:lang w:val="en-US" w:eastAsia="zh-CN"/>
        </w:rPr>
        <w:t>4</w:t>
      </w:r>
      <w:r>
        <w:rPr>
          <w:rFonts w:hint="eastAsia" w:ascii="Times New Roman" w:hAnsi="Times New Roman" w:eastAsia="仿宋_GB2312" w:cs="Times New Roman"/>
          <w:sz w:val="32"/>
          <w:lang w:val="en-US" w:eastAsia="zh-CN"/>
        </w:rPr>
        <w:t>日</w:t>
      </w:r>
      <w:r>
        <w:rPr>
          <w:rFonts w:hint="eastAsia" w:cs="Times New Roman"/>
          <w:sz w:val="32"/>
          <w:lang w:val="en-US" w:eastAsia="zh-CN"/>
        </w:rPr>
        <w:t>17</w:t>
      </w:r>
      <w:r>
        <w:rPr>
          <w:rFonts w:hint="eastAsia" w:ascii="Times New Roman" w:hAnsi="Times New Roman" w:eastAsia="仿宋_GB2312" w:cs="Times New Roman"/>
          <w:sz w:val="32"/>
          <w:lang w:val="en-US" w:eastAsia="zh-CN"/>
        </w:rPr>
        <w:t>:30</w:t>
      </w:r>
      <w:r>
        <w:rPr>
          <w:rFonts w:hint="eastAsia" w:ascii="Times New Roman" w:hAnsi="Times New Roman" w:eastAsia="仿宋_GB2312" w:cs="Times New Roman"/>
          <w:sz w:val="32"/>
        </w:rPr>
        <w:t>前将</w:t>
      </w:r>
      <w:r>
        <w:rPr>
          <w:rFonts w:hint="eastAsia" w:ascii="Times New Roman" w:hAnsi="Times New Roman" w:eastAsia="仿宋_GB2312" w:cs="Times New Roman"/>
          <w:sz w:val="32"/>
          <w:lang w:val="en-US" w:eastAsia="zh-CN"/>
        </w:rPr>
        <w:t>有关材料递交</w:t>
      </w:r>
      <w:r>
        <w:rPr>
          <w:rFonts w:hint="eastAsia" w:ascii="Times New Roman" w:hAnsi="Times New Roman" w:eastAsia="仿宋_GB2312" w:cs="Times New Roman"/>
          <w:sz w:val="32"/>
        </w:rPr>
        <w:t>至东莞市东城街道莞龙路东城段</w:t>
      </w:r>
      <w:r>
        <w:rPr>
          <w:rFonts w:hint="default" w:ascii="Times New Roman" w:hAnsi="Times New Roman" w:eastAsia="仿宋_GB2312" w:cs="Times New Roman"/>
          <w:sz w:val="32"/>
        </w:rPr>
        <w:t>283</w:t>
      </w:r>
      <w:r>
        <w:rPr>
          <w:rFonts w:hint="eastAsia" w:ascii="Times New Roman" w:hAnsi="Times New Roman" w:eastAsia="仿宋_GB2312" w:cs="Times New Roman"/>
          <w:sz w:val="32"/>
        </w:rPr>
        <w:t>号市住房和城乡建设局2号楼</w:t>
      </w:r>
      <w:r>
        <w:rPr>
          <w:rFonts w:hint="eastAsia" w:ascii="Times New Roman" w:hAnsi="Times New Roman" w:eastAsia="仿宋_GB2312" w:cs="Times New Roman"/>
          <w:sz w:val="32"/>
          <w:lang w:val="en-US" w:eastAsia="zh-CN"/>
        </w:rPr>
        <w:t>质量安全</w:t>
      </w:r>
      <w:r>
        <w:rPr>
          <w:rFonts w:hint="eastAsia" w:ascii="Times New Roman" w:hAnsi="Times New Roman" w:eastAsia="仿宋_GB2312" w:cs="Times New Roman"/>
          <w:sz w:val="32"/>
        </w:rPr>
        <w:t>监督</w:t>
      </w:r>
      <w:r>
        <w:rPr>
          <w:rFonts w:hint="default" w:ascii="Times New Roman" w:hAnsi="Times New Roman" w:eastAsia="仿宋_GB2312" w:cs="Times New Roman"/>
          <w:sz w:val="32"/>
        </w:rPr>
        <w:t>站</w:t>
      </w:r>
      <w:r>
        <w:rPr>
          <w:rFonts w:hint="eastAsia" w:ascii="Times New Roman" w:hAnsi="Times New Roman" w:eastAsia="仿宋_GB2312" w:cs="Times New Roman"/>
          <w:sz w:val="32"/>
          <w:lang w:val="en-US" w:eastAsia="zh-CN"/>
        </w:rPr>
        <w:t>3楼</w:t>
      </w:r>
      <w:r>
        <w:rPr>
          <w:rFonts w:hint="eastAsia" w:ascii="Times New Roman" w:hAnsi="Times New Roman" w:eastAsia="仿宋_GB2312" w:cs="Times New Roman"/>
          <w:sz w:val="32"/>
        </w:rPr>
        <w:t>313</w:t>
      </w:r>
      <w:r>
        <w:rPr>
          <w:rFonts w:hint="default" w:ascii="Times New Roman" w:hAnsi="Times New Roman" w:eastAsia="仿宋_GB2312" w:cs="Times New Roman"/>
          <w:sz w:val="32"/>
        </w:rPr>
        <w:t>室</w:t>
      </w:r>
      <w:r>
        <w:rPr>
          <w:rFonts w:hint="eastAsia" w:ascii="Times New Roman" w:hAnsi="Times New Roman" w:eastAsia="仿宋_GB2312" w:cs="Times New Roman"/>
          <w:sz w:val="32"/>
        </w:rPr>
        <w:t>，逾</w:t>
      </w:r>
      <w:r>
        <w:rPr>
          <w:rFonts w:ascii="仿宋_GB2312" w:eastAsia="仿宋_GB2312"/>
          <w:sz w:val="32"/>
        </w:rPr>
        <w:t>期不予受理。</w:t>
      </w:r>
      <w:r>
        <w:rPr>
          <w:rFonts w:hint="eastAsia" w:ascii="仿宋_GB2312"/>
          <w:sz w:val="32"/>
          <w:lang w:eastAsia="zh-CN"/>
        </w:rPr>
        <w:t>资料</w:t>
      </w:r>
      <w:r>
        <w:rPr>
          <w:rFonts w:hint="eastAsia" w:ascii="Times New Roman" w:hAnsi="Times New Roman" w:eastAsia="仿宋_GB2312" w:cs="Times New Roman"/>
          <w:sz w:val="32"/>
          <w:lang w:eastAsia="zh-CN"/>
        </w:rPr>
        <w:t>一式五份，包括：</w:t>
      </w:r>
    </w:p>
    <w:p w14:paraId="39F2A7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（1）响应文件</w:t>
      </w:r>
    </w:p>
    <w:p w14:paraId="5EB3EE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（2）法定代表人或被授权人的身份证复印件（加盖公章）</w:t>
      </w:r>
    </w:p>
    <w:p w14:paraId="700C2C83">
      <w:pPr>
        <w:pStyle w:val="19"/>
        <w:numPr>
          <w:ilvl w:val="0"/>
          <w:numId w:val="0"/>
        </w:numPr>
        <w:ind w:leftChars="0" w:firstLine="640" w:firstLineChars="200"/>
        <w:rPr>
          <w:rFonts w:hint="default" w:ascii="黑体" w:hAnsi="黑体" w:eastAsia="黑体" w:cs="黑体"/>
          <w:b w:val="0"/>
          <w:bCs/>
          <w:sz w:val="32"/>
          <w:lang w:val="en-US" w:eastAsia="zh-CN"/>
        </w:rPr>
      </w:pPr>
      <w:r>
        <w:rPr>
          <w:rFonts w:hint="eastAsia" w:ascii="黑体" w:hAnsi="黑体" w:eastAsia="黑体" w:cs="黑体"/>
          <w:b w:val="0"/>
          <w:bCs/>
          <w:sz w:val="32"/>
          <w:lang w:val="en-US" w:eastAsia="zh-CN"/>
        </w:rPr>
        <w:t>六、支付方式</w:t>
      </w:r>
    </w:p>
    <w:p w14:paraId="2A6841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cs="Times New Roman"/>
          <w:sz w:val="32"/>
          <w:lang w:val="en-US" w:eastAsia="zh-CN"/>
        </w:rPr>
        <w:t>自合同签订之日起，采购人凭供应商提交的完税发票和请款说明支付技术服务费。本项目合同费用以分期方式支付，资金来源市财政资金，具体结算方式以合同或双方协商为准。</w:t>
      </w:r>
    </w:p>
    <w:p w14:paraId="5DB10BA3">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eastAsia="仿宋_GB2312"/>
          <w:sz w:val="32"/>
          <w:lang w:val="en-US" w:eastAsia="zh-CN"/>
        </w:rPr>
      </w:pPr>
    </w:p>
    <w:p w14:paraId="45410900">
      <w:pPr>
        <w:jc w:val="center"/>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第三部分评分标准</w:t>
      </w:r>
    </w:p>
    <w:p w14:paraId="67649D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Times New Roman"/>
          <w:sz w:val="32"/>
          <w:lang w:val="en-US" w:eastAsia="zh-CN"/>
        </w:rPr>
      </w:pPr>
      <w:r>
        <w:rPr>
          <w:rFonts w:hint="eastAsia" w:ascii="Times New Roman" w:hAnsi="Times New Roman" w:cs="Times New Roman"/>
          <w:sz w:val="32"/>
          <w:lang w:val="en-US" w:eastAsia="zh-CN"/>
        </w:rPr>
        <w:t>采购人成立评审小组，对供应商响应文件进行评审，得分为评审小组成员评分的算术平均分，分值保留小数点后两位。</w:t>
      </w:r>
    </w:p>
    <w:tbl>
      <w:tblPr>
        <w:tblStyle w:val="15"/>
        <w:tblW w:w="93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6"/>
        <w:gridCol w:w="1620"/>
        <w:gridCol w:w="6540"/>
      </w:tblGrid>
      <w:tr w14:paraId="65E69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236" w:type="dxa"/>
            <w:tcBorders>
              <w:top w:val="single" w:color="000000" w:sz="8" w:space="0"/>
              <w:left w:val="single" w:color="000000" w:sz="8" w:space="0"/>
              <w:bottom w:val="single" w:color="000000" w:sz="8" w:space="0"/>
              <w:right w:val="single" w:color="000000" w:sz="8" w:space="0"/>
            </w:tcBorders>
            <w:noWrap w:val="0"/>
            <w:vAlign w:val="center"/>
          </w:tcPr>
          <w:p w14:paraId="6F1CCA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评审因素</w:t>
            </w:r>
          </w:p>
        </w:tc>
        <w:tc>
          <w:tcPr>
            <w:tcW w:w="8160" w:type="dxa"/>
            <w:gridSpan w:val="2"/>
            <w:tcBorders>
              <w:top w:val="single" w:color="000000" w:sz="8" w:space="0"/>
              <w:left w:val="nil"/>
              <w:bottom w:val="single" w:color="000000" w:sz="8" w:space="0"/>
              <w:right w:val="single" w:color="000000" w:sz="8" w:space="0"/>
            </w:tcBorders>
            <w:noWrap w:val="0"/>
            <w:vAlign w:val="center"/>
          </w:tcPr>
          <w:p w14:paraId="2DD5A1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评审标准</w:t>
            </w:r>
          </w:p>
        </w:tc>
      </w:tr>
      <w:tr w14:paraId="6D98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36" w:type="dxa"/>
            <w:vMerge w:val="restart"/>
            <w:tcBorders>
              <w:top w:val="nil"/>
              <w:left w:val="single" w:color="000000" w:sz="8" w:space="0"/>
              <w:bottom w:val="single" w:color="000000" w:sz="8" w:space="0"/>
              <w:right w:val="single" w:color="000000" w:sz="8" w:space="0"/>
            </w:tcBorders>
            <w:noWrap w:val="0"/>
            <w:vAlign w:val="center"/>
          </w:tcPr>
          <w:p w14:paraId="6D7E46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分值构成</w:t>
            </w:r>
          </w:p>
        </w:tc>
        <w:tc>
          <w:tcPr>
            <w:tcW w:w="8160" w:type="dxa"/>
            <w:gridSpan w:val="2"/>
            <w:vMerge w:val="restart"/>
            <w:tcBorders>
              <w:top w:val="nil"/>
              <w:left w:val="nil"/>
              <w:bottom w:val="single" w:color="000000" w:sz="8" w:space="0"/>
              <w:right w:val="single" w:color="000000" w:sz="8" w:space="0"/>
            </w:tcBorders>
            <w:noWrap w:val="0"/>
            <w:vAlign w:val="center"/>
          </w:tcPr>
          <w:p w14:paraId="04AC85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技术部分30.0分、商务部分60.0分、报价得分10.0分</w:t>
            </w:r>
          </w:p>
        </w:tc>
      </w:tr>
      <w:tr w14:paraId="54F92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236" w:type="dxa"/>
            <w:vMerge w:val="continue"/>
            <w:tcBorders>
              <w:top w:val="nil"/>
              <w:left w:val="single" w:color="000000" w:sz="8" w:space="0"/>
              <w:bottom w:val="single" w:color="000000" w:sz="8" w:space="0"/>
              <w:right w:val="single" w:color="000000" w:sz="8" w:space="0"/>
            </w:tcBorders>
            <w:noWrap w:val="0"/>
            <w:vAlign w:val="center"/>
          </w:tcPr>
          <w:p w14:paraId="34D9CE0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2"/>
                <w:szCs w:val="22"/>
                <w:u w:val="none"/>
              </w:rPr>
            </w:pPr>
          </w:p>
        </w:tc>
        <w:tc>
          <w:tcPr>
            <w:tcW w:w="8160" w:type="dxa"/>
            <w:gridSpan w:val="2"/>
            <w:vMerge w:val="continue"/>
            <w:tcBorders>
              <w:top w:val="nil"/>
              <w:left w:val="nil"/>
              <w:bottom w:val="single" w:color="000000" w:sz="8" w:space="0"/>
              <w:right w:val="single" w:color="000000" w:sz="8" w:space="0"/>
            </w:tcBorders>
            <w:noWrap w:val="0"/>
            <w:vAlign w:val="center"/>
          </w:tcPr>
          <w:p w14:paraId="710E4094">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2"/>
                <w:szCs w:val="22"/>
                <w:u w:val="none"/>
              </w:rPr>
            </w:pPr>
          </w:p>
        </w:tc>
      </w:tr>
      <w:tr w14:paraId="4CCE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1236" w:type="dxa"/>
            <w:vMerge w:val="continue"/>
            <w:tcBorders>
              <w:top w:val="nil"/>
              <w:left w:val="single" w:color="000000" w:sz="8" w:space="0"/>
              <w:bottom w:val="single" w:color="auto" w:sz="4" w:space="0"/>
              <w:right w:val="single" w:color="000000" w:sz="8" w:space="0"/>
            </w:tcBorders>
            <w:noWrap w:val="0"/>
            <w:vAlign w:val="center"/>
          </w:tcPr>
          <w:p w14:paraId="497220C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2"/>
                <w:szCs w:val="22"/>
                <w:u w:val="none"/>
              </w:rPr>
            </w:pPr>
          </w:p>
        </w:tc>
        <w:tc>
          <w:tcPr>
            <w:tcW w:w="8160" w:type="dxa"/>
            <w:gridSpan w:val="2"/>
            <w:vMerge w:val="continue"/>
            <w:tcBorders>
              <w:top w:val="nil"/>
              <w:left w:val="nil"/>
              <w:bottom w:val="single" w:color="000000" w:sz="8" w:space="0"/>
              <w:right w:val="single" w:color="000000" w:sz="8" w:space="0"/>
            </w:tcBorders>
            <w:noWrap w:val="0"/>
            <w:vAlign w:val="center"/>
          </w:tcPr>
          <w:p w14:paraId="6526E8DB">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2"/>
                <w:szCs w:val="22"/>
                <w:u w:val="none"/>
              </w:rPr>
            </w:pPr>
          </w:p>
        </w:tc>
      </w:tr>
      <w:tr w14:paraId="1CE6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noWrap w:val="0"/>
            <w:vAlign w:val="center"/>
          </w:tcPr>
          <w:p w14:paraId="7A753B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技术部分</w:t>
            </w:r>
          </w:p>
        </w:tc>
        <w:tc>
          <w:tcPr>
            <w:tcW w:w="1620" w:type="dxa"/>
            <w:tcBorders>
              <w:top w:val="nil"/>
              <w:left w:val="single" w:color="auto" w:sz="4" w:space="0"/>
              <w:bottom w:val="single" w:color="000000" w:sz="8" w:space="0"/>
              <w:right w:val="single" w:color="000000" w:sz="8" w:space="0"/>
            </w:tcBorders>
            <w:noWrap w:val="0"/>
            <w:vAlign w:val="center"/>
          </w:tcPr>
          <w:p w14:paraId="38773D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立法思路(10.0分)</w:t>
            </w:r>
          </w:p>
        </w:tc>
        <w:tc>
          <w:tcPr>
            <w:tcW w:w="6540" w:type="dxa"/>
            <w:tcBorders>
              <w:top w:val="single" w:color="000000" w:sz="8" w:space="0"/>
              <w:left w:val="nil"/>
              <w:bottom w:val="single" w:color="000000" w:sz="8" w:space="0"/>
              <w:right w:val="single" w:color="000000" w:sz="8" w:space="0"/>
            </w:tcBorders>
            <w:noWrap w:val="0"/>
            <w:vAlign w:val="top"/>
          </w:tcPr>
          <w:p w14:paraId="6AAAC3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根据开展《东莞市农民安居房建设管理条例》立法的立法思路进行评审: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1.立法思路完整详细、可行性强，完全满足且优于项目需求的，得10分；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2.立法思路较为完整详细、可行性较强，完全满足项目需求的，得6分；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3.立法思路内容欠缺、可行性一般，不完全满足项目需求的，得3分；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4.未提供相关表述不得分。</w:t>
            </w:r>
          </w:p>
        </w:tc>
      </w:tr>
      <w:tr w14:paraId="542D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1236" w:type="dxa"/>
            <w:vMerge w:val="continue"/>
            <w:tcBorders>
              <w:top w:val="single" w:color="auto" w:sz="4" w:space="0"/>
              <w:left w:val="single" w:color="auto" w:sz="4" w:space="0"/>
              <w:bottom w:val="single" w:color="auto" w:sz="4" w:space="0"/>
              <w:right w:val="single" w:color="auto" w:sz="4" w:space="0"/>
            </w:tcBorders>
            <w:noWrap w:val="0"/>
            <w:vAlign w:val="center"/>
          </w:tcPr>
          <w:p w14:paraId="2C81D9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 w:hAnsi="仿宋" w:eastAsia="仿宋" w:cs="仿宋"/>
                <w:i w:val="0"/>
                <w:iCs w:val="0"/>
                <w:color w:val="000000"/>
                <w:sz w:val="22"/>
                <w:szCs w:val="22"/>
                <w:u w:val="none"/>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14:paraId="3102F4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进度计划及质量保障(10.0分)</w:t>
            </w:r>
          </w:p>
        </w:tc>
        <w:tc>
          <w:tcPr>
            <w:tcW w:w="6540" w:type="dxa"/>
            <w:tcBorders>
              <w:top w:val="single" w:color="000000" w:sz="4" w:space="0"/>
              <w:left w:val="single" w:color="000000" w:sz="4" w:space="0"/>
              <w:bottom w:val="single" w:color="000000" w:sz="4" w:space="0"/>
              <w:right w:val="single" w:color="000000" w:sz="4" w:space="0"/>
            </w:tcBorders>
            <w:noWrap w:val="0"/>
            <w:vAlign w:val="top"/>
          </w:tcPr>
          <w:p w14:paraId="60C19A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规划进度安排、质量控制措施、售后服务合理，得10分；规划进度安排、质量控制措施、售后服务基本合理，得6分；规划进度安排、质量控制措施、售后服务不合理，得3分；不提供方案不得分。</w:t>
            </w:r>
          </w:p>
        </w:tc>
      </w:tr>
      <w:tr w14:paraId="46D3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2" w:hRule="atLeast"/>
        </w:trPr>
        <w:tc>
          <w:tcPr>
            <w:tcW w:w="1236" w:type="dxa"/>
            <w:vMerge w:val="continue"/>
            <w:tcBorders>
              <w:top w:val="single" w:color="auto" w:sz="4" w:space="0"/>
              <w:left w:val="single" w:color="auto" w:sz="4" w:space="0"/>
              <w:bottom w:val="single" w:color="auto" w:sz="4" w:space="0"/>
              <w:right w:val="single" w:color="auto" w:sz="4" w:space="0"/>
            </w:tcBorders>
            <w:noWrap w:val="0"/>
            <w:vAlign w:val="center"/>
          </w:tcPr>
          <w:p w14:paraId="24CB416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2"/>
                <w:szCs w:val="22"/>
                <w:u w:val="none"/>
              </w:rPr>
            </w:pPr>
          </w:p>
        </w:tc>
        <w:tc>
          <w:tcPr>
            <w:tcW w:w="1620" w:type="dxa"/>
            <w:vMerge w:val="restart"/>
            <w:tcBorders>
              <w:top w:val="single" w:color="000000" w:sz="4" w:space="0"/>
              <w:left w:val="single" w:color="auto" w:sz="4" w:space="0"/>
              <w:bottom w:val="single" w:color="000000" w:sz="4" w:space="0"/>
              <w:right w:val="single" w:color="000000" w:sz="4" w:space="0"/>
            </w:tcBorders>
            <w:noWrap w:val="0"/>
            <w:vAlign w:val="center"/>
          </w:tcPr>
          <w:p w14:paraId="2B61DD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人员管理架构 (</w:t>
            </w:r>
            <w:r>
              <w:rPr>
                <w:rStyle w:val="22"/>
                <w:lang w:val="en-US" w:eastAsia="zh-CN" w:bidi="ar"/>
              </w:rPr>
              <w:t>10.0分)</w:t>
            </w:r>
          </w:p>
        </w:tc>
        <w:tc>
          <w:tcPr>
            <w:tcW w:w="6540" w:type="dxa"/>
            <w:vMerge w:val="restart"/>
            <w:tcBorders>
              <w:top w:val="single" w:color="000000" w:sz="4" w:space="0"/>
              <w:left w:val="single" w:color="000000" w:sz="4" w:space="0"/>
              <w:bottom w:val="single" w:color="000000" w:sz="4" w:space="0"/>
              <w:right w:val="single" w:color="000000" w:sz="4" w:space="0"/>
            </w:tcBorders>
            <w:noWrap w:val="0"/>
            <w:vAlign w:val="top"/>
          </w:tcPr>
          <w:p w14:paraId="2C90F5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1.拟派本项目负责人具有高级及以上技术职称且具有博士研究生及以上学历，得5分；其他情况不得分。 (需提供学历证书、技术职称证书、在供应商单位近三个月购买社保的证明等复印件，否则不得分。)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拟派本项目成员（项目负责人除外）具有硕士研究生及以上学历且具有中级及以上技术职称的5人或以上，得5分；其他情况不得分。(需提供学历证书、技术职称证书、在供应商单位近三个月购买社保的证明等复印件，否则不得分。）</w:t>
            </w:r>
          </w:p>
        </w:tc>
      </w:tr>
      <w:tr w14:paraId="64E2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236" w:type="dxa"/>
            <w:vMerge w:val="restart"/>
            <w:tcBorders>
              <w:top w:val="single" w:color="auto" w:sz="4" w:space="0"/>
              <w:left w:val="single" w:color="000000" w:sz="4" w:space="0"/>
              <w:bottom w:val="single" w:color="auto" w:sz="4" w:space="0"/>
              <w:right w:val="single" w:color="000000" w:sz="4" w:space="0"/>
            </w:tcBorders>
            <w:noWrap w:val="0"/>
            <w:vAlign w:val="center"/>
          </w:tcPr>
          <w:p w14:paraId="64E4C0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商务部分</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58BE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供应商业绩情况 (50.0分)</w:t>
            </w:r>
          </w:p>
        </w:tc>
        <w:tc>
          <w:tcPr>
            <w:tcW w:w="6540" w:type="dxa"/>
            <w:vMerge w:val="restart"/>
            <w:tcBorders>
              <w:top w:val="single" w:color="000000" w:sz="4" w:space="0"/>
              <w:left w:val="single" w:color="000000" w:sz="4" w:space="0"/>
              <w:bottom w:val="single" w:color="000000" w:sz="4" w:space="0"/>
              <w:right w:val="single" w:color="000000" w:sz="4" w:space="0"/>
            </w:tcBorders>
            <w:noWrap w:val="0"/>
            <w:vAlign w:val="top"/>
          </w:tcPr>
          <w:p w14:paraId="13536C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自2021年1月至今，供应商承接过地级市及以上立法研究项目，每提供1项目得5分，最高得20分；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自2021年1月至今，供应商承接过地级市及以上农房或住房政策研究项目，每提供1项目得2分，最高得30分。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（以上须同时提供项目合同关键页复印件，时间以合同签订时间为准，否则不得分。）</w:t>
            </w:r>
          </w:p>
        </w:tc>
      </w:tr>
      <w:tr w14:paraId="1C08F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36" w:type="dxa"/>
            <w:vMerge w:val="continue"/>
            <w:tcBorders>
              <w:top w:val="single" w:color="auto" w:sz="4" w:space="0"/>
              <w:left w:val="single" w:color="000000" w:sz="4" w:space="0"/>
              <w:bottom w:val="single" w:color="auto" w:sz="4" w:space="0"/>
              <w:right w:val="single" w:color="000000" w:sz="4" w:space="0"/>
            </w:tcBorders>
            <w:noWrap w:val="0"/>
            <w:vAlign w:val="center"/>
          </w:tcPr>
          <w:p w14:paraId="3A2C50B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B959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2"/>
                <w:szCs w:val="22"/>
                <w:u w:val="none"/>
              </w:rPr>
            </w:pPr>
          </w:p>
        </w:tc>
        <w:tc>
          <w:tcPr>
            <w:tcW w:w="6540" w:type="dxa"/>
            <w:vMerge w:val="continue"/>
            <w:tcBorders>
              <w:top w:val="single" w:color="000000" w:sz="4" w:space="0"/>
              <w:left w:val="single" w:color="000000" w:sz="4" w:space="0"/>
              <w:bottom w:val="single" w:color="000000" w:sz="4" w:space="0"/>
              <w:right w:val="single" w:color="000000" w:sz="4" w:space="0"/>
            </w:tcBorders>
            <w:noWrap w:val="0"/>
            <w:vAlign w:val="top"/>
          </w:tcPr>
          <w:p w14:paraId="0F79566C">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2"/>
                <w:szCs w:val="22"/>
                <w:u w:val="none"/>
              </w:rPr>
            </w:pPr>
          </w:p>
        </w:tc>
      </w:tr>
      <w:tr w14:paraId="20BA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1236" w:type="dxa"/>
            <w:vMerge w:val="continue"/>
            <w:tcBorders>
              <w:top w:val="single" w:color="auto" w:sz="4" w:space="0"/>
              <w:left w:val="single" w:color="000000" w:sz="4" w:space="0"/>
              <w:bottom w:val="single" w:color="auto" w:sz="4" w:space="0"/>
              <w:right w:val="single" w:color="000000" w:sz="4" w:space="0"/>
            </w:tcBorders>
            <w:noWrap w:val="0"/>
            <w:vAlign w:val="center"/>
          </w:tcPr>
          <w:p w14:paraId="5C45FF9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0776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2"/>
                <w:szCs w:val="22"/>
                <w:u w:val="none"/>
              </w:rPr>
            </w:pPr>
          </w:p>
        </w:tc>
        <w:tc>
          <w:tcPr>
            <w:tcW w:w="6540" w:type="dxa"/>
            <w:vMerge w:val="continue"/>
            <w:tcBorders>
              <w:top w:val="single" w:color="000000" w:sz="4" w:space="0"/>
              <w:left w:val="single" w:color="000000" w:sz="4" w:space="0"/>
              <w:bottom w:val="single" w:color="000000" w:sz="4" w:space="0"/>
              <w:right w:val="single" w:color="000000" w:sz="4" w:space="0"/>
            </w:tcBorders>
            <w:noWrap w:val="0"/>
            <w:vAlign w:val="top"/>
          </w:tcPr>
          <w:p w14:paraId="0B08E64B">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2"/>
                <w:szCs w:val="22"/>
                <w:u w:val="none"/>
              </w:rPr>
            </w:pPr>
          </w:p>
        </w:tc>
      </w:tr>
      <w:tr w14:paraId="1377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1236" w:type="dxa"/>
            <w:vMerge w:val="continue"/>
            <w:tcBorders>
              <w:top w:val="single" w:color="auto" w:sz="4" w:space="0"/>
              <w:left w:val="single" w:color="000000" w:sz="4" w:space="0"/>
              <w:bottom w:val="single" w:color="auto" w:sz="4" w:space="0"/>
              <w:right w:val="single" w:color="000000" w:sz="4" w:space="0"/>
            </w:tcBorders>
            <w:noWrap w:val="0"/>
            <w:vAlign w:val="center"/>
          </w:tcPr>
          <w:p w14:paraId="500B01E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87900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供应商荣誉 (6.0分)</w:t>
            </w:r>
          </w:p>
        </w:tc>
        <w:tc>
          <w:tcPr>
            <w:tcW w:w="6540" w:type="dxa"/>
            <w:tcBorders>
              <w:top w:val="single" w:color="000000" w:sz="4" w:space="0"/>
              <w:left w:val="single" w:color="000000" w:sz="4" w:space="0"/>
              <w:bottom w:val="single" w:color="000000" w:sz="4" w:space="0"/>
              <w:right w:val="single" w:color="000000" w:sz="4" w:space="0"/>
            </w:tcBorders>
            <w:noWrap w:val="0"/>
            <w:vAlign w:val="top"/>
          </w:tcPr>
          <w:p w14:paraId="1776A42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2021年1月至今，供应商获得中国工程咨询协会颁发的“全国优秀工程咨询成果奖”二等奖或以上或中国城市规划协会颁发“全国优秀城乡规划设计奖”二等奖或以上的，每项得1分，最高得6分。（提供获奖证书复印件加盖供应商公章，否则不得分，同一项目只计一次。）</w:t>
            </w:r>
          </w:p>
        </w:tc>
      </w:tr>
      <w:tr w14:paraId="45C16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1236" w:type="dxa"/>
            <w:vMerge w:val="continue"/>
            <w:tcBorders>
              <w:top w:val="single" w:color="auto" w:sz="4" w:space="0"/>
              <w:left w:val="single" w:color="000000" w:sz="4" w:space="0"/>
              <w:bottom w:val="single" w:color="auto" w:sz="4" w:space="0"/>
              <w:right w:val="single" w:color="000000" w:sz="4" w:space="0"/>
            </w:tcBorders>
            <w:noWrap w:val="0"/>
            <w:vAlign w:val="center"/>
          </w:tcPr>
          <w:p w14:paraId="470E06F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D6CE8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供应商认证情况 (4.0分)</w:t>
            </w:r>
          </w:p>
        </w:tc>
        <w:tc>
          <w:tcPr>
            <w:tcW w:w="6540" w:type="dxa"/>
            <w:tcBorders>
              <w:top w:val="single" w:color="000000" w:sz="4" w:space="0"/>
              <w:left w:val="single" w:color="000000" w:sz="4" w:space="0"/>
              <w:bottom w:val="single" w:color="000000" w:sz="4" w:space="0"/>
              <w:right w:val="single" w:color="000000" w:sz="4" w:space="0"/>
            </w:tcBorders>
            <w:noWrap w:val="0"/>
            <w:vAlign w:val="top"/>
          </w:tcPr>
          <w:p w14:paraId="25C9AC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具有由国家认监委批准设立的认证机构颁发并在有效期内的知识产权管理体系认证证书、质量管理体系认证证书、职业健康管理体系认证证书、环境管理体系认证证书，每提供一项认证得1分，最高得4分。（提供证书复印件，否则不得分。）</w:t>
            </w:r>
          </w:p>
        </w:tc>
      </w:tr>
      <w:tr w14:paraId="01D0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236" w:type="dxa"/>
            <w:tcBorders>
              <w:top w:val="single" w:color="auto" w:sz="4" w:space="0"/>
              <w:left w:val="single" w:color="000000" w:sz="4" w:space="0"/>
              <w:bottom w:val="single" w:color="000000" w:sz="4" w:space="0"/>
              <w:right w:val="single" w:color="000000" w:sz="4" w:space="0"/>
            </w:tcBorders>
            <w:noWrap w:val="0"/>
            <w:vAlign w:val="center"/>
          </w:tcPr>
          <w:p w14:paraId="5D5BE8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投标报价</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46AD0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投标报价得分 (10.0分)</w:t>
            </w:r>
          </w:p>
        </w:tc>
        <w:tc>
          <w:tcPr>
            <w:tcW w:w="6540" w:type="dxa"/>
            <w:tcBorders>
              <w:top w:val="single" w:color="000000" w:sz="4" w:space="0"/>
              <w:left w:val="single" w:color="000000" w:sz="4" w:space="0"/>
              <w:bottom w:val="single" w:color="000000" w:sz="4" w:space="0"/>
              <w:right w:val="single" w:color="000000" w:sz="4" w:space="0"/>
            </w:tcBorders>
            <w:noWrap w:val="0"/>
            <w:vAlign w:val="top"/>
          </w:tcPr>
          <w:p w14:paraId="6351B2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312FEA57">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Cs w:val="32"/>
          <w:lang w:val="en-US" w:eastAsia="zh-CN"/>
        </w:rPr>
      </w:pPr>
    </w:p>
    <w:p w14:paraId="32D4B85C">
      <w:pPr>
        <w:pStyle w:val="4"/>
      </w:pPr>
    </w:p>
    <w:p w14:paraId="5D3AF1D6">
      <w:pPr>
        <w:pStyle w:val="4"/>
        <w:ind w:firstLine="640"/>
        <w:jc w:val="right"/>
      </w:pPr>
      <w:r>
        <w:t>东莞市住房和城乡建设局</w:t>
      </w:r>
    </w:p>
    <w:p w14:paraId="1746D667">
      <w:pPr>
        <w:pStyle w:val="4"/>
        <w:ind w:firstLine="640"/>
        <w:jc w:val="center"/>
      </w:pPr>
      <w:r>
        <w:rPr>
          <w:rFonts w:hint="eastAsia"/>
          <w:lang w:val="en-US" w:eastAsia="zh-CN"/>
        </w:rPr>
        <w:t xml:space="preserve">                                 </w:t>
      </w:r>
      <w:r>
        <w:t>202</w:t>
      </w:r>
      <w:r>
        <w:rPr>
          <w:rFonts w:hint="eastAsia"/>
          <w:lang w:val="en-US" w:eastAsia="zh-CN"/>
        </w:rPr>
        <w:t>4</w:t>
      </w:r>
      <w:r>
        <w:t>年</w:t>
      </w:r>
      <w:r>
        <w:rPr>
          <w:rFonts w:hint="eastAsia"/>
          <w:lang w:val="en-US" w:eastAsia="zh-CN"/>
        </w:rPr>
        <w:t>8</w:t>
      </w:r>
      <w:r>
        <w:t>月</w:t>
      </w:r>
      <w:r>
        <w:rPr>
          <w:rFonts w:hint="eastAsia"/>
          <w:lang w:val="en-US" w:eastAsia="zh-CN"/>
        </w:rPr>
        <w:t>28</w:t>
      </w:r>
      <w:r>
        <w:t>日</w:t>
      </w:r>
    </w:p>
    <w:p w14:paraId="794E4BB2">
      <w:pPr>
        <w:pStyle w:val="4"/>
        <w:ind w:firstLine="640"/>
      </w:pPr>
    </w:p>
    <w:p w14:paraId="5602596D">
      <w:pPr>
        <w:pStyle w:val="4"/>
        <w:ind w:firstLine="640"/>
      </w:pPr>
    </w:p>
    <w:sectPr>
      <w:footerReference r:id="rId5" w:type="first"/>
      <w:footerReference r:id="rId3" w:type="default"/>
      <w:footerReference r:id="rId4" w:type="even"/>
      <w:pgSz w:w="11906" w:h="16838"/>
      <w:pgMar w:top="1701" w:right="1304" w:bottom="1304" w:left="1304" w:header="851" w:footer="1304" w:gutter="0"/>
      <w:cols w:space="720" w:num="1"/>
      <w:titlePg/>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BECE3C-824F-41B6-A2AF-56A4E1A7B4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8C4B443-C401-4565-8B09-A35A7F0939CA}"/>
  </w:font>
  <w:font w:name="方正小标宋简体">
    <w:panose1 w:val="03000509000000000000"/>
    <w:charset w:val="86"/>
    <w:family w:val="script"/>
    <w:pitch w:val="default"/>
    <w:sig w:usb0="00000001" w:usb1="080E0000" w:usb2="00000000" w:usb3="00000000" w:csb0="00040000" w:csb1="00000000"/>
    <w:embedRegular r:id="rId3" w:fontKey="{88242393-5CF8-41DC-9970-B28B50162D89}"/>
  </w:font>
  <w:font w:name="楷体_GB2312">
    <w:panose1 w:val="02010609030101010101"/>
    <w:charset w:val="86"/>
    <w:family w:val="modern"/>
    <w:pitch w:val="default"/>
    <w:sig w:usb0="00000001" w:usb1="080E0000" w:usb2="00000000" w:usb3="00000000" w:csb0="00040000" w:csb1="00000000"/>
    <w:embedRegular r:id="rId4" w:fontKey="{A783F279-2550-4E2A-8040-23D74885AE9D}"/>
  </w:font>
  <w:font w:name="仿宋">
    <w:panose1 w:val="02010609060101010101"/>
    <w:charset w:val="86"/>
    <w:family w:val="modern"/>
    <w:pitch w:val="default"/>
    <w:sig w:usb0="800002BF" w:usb1="38CF7CFA" w:usb2="00000016" w:usb3="00000000" w:csb0="00040001" w:csb1="00000000"/>
    <w:embedRegular r:id="rId5" w:fontKey="{725FC291-D4FC-435F-8786-865F5CAF23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CA472">
    <w:pPr>
      <w:framePr w:w="1067" w:h="562" w:hRule="exact" w:wrap="around" w:vAnchor="text" w:hAnchor="page" w:x="9465" w:y="209"/>
      <w:jc w:val="center"/>
      <w:rPr>
        <w:rFonts w:hint="eastAsia"/>
      </w:rPr>
    </w:pPr>
    <w:r>
      <w:rPr>
        <w:rFonts w:hint="eastAsia"/>
      </w:rPr>
      <w:t>—</w:t>
    </w:r>
    <w:r>
      <w:fldChar w:fldCharType="begin"/>
    </w:r>
    <w:r>
      <w:instrText xml:space="preserve">PAGE  </w:instrText>
    </w:r>
    <w:r>
      <w:fldChar w:fldCharType="separate"/>
    </w:r>
    <w:r>
      <w:t>3</w:t>
    </w:r>
    <w:r>
      <w:fldChar w:fldCharType="end"/>
    </w:r>
    <w:r>
      <w:rPr>
        <w:rFonts w:hint="eastAsia"/>
      </w:rPr>
      <w:t>—</w:t>
    </w:r>
  </w:p>
  <w:p w14:paraId="4EBF3BA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394E8">
    <w:pPr>
      <w:framePr w:wrap="notBeside" w:vAnchor="page" w:hAnchor="page" w:x="1625" w:y="15422"/>
    </w:pPr>
    <w:r>
      <w:rPr>
        <w:rFonts w:hint="eastAsia"/>
      </w:rPr>
      <w:t>—</w:t>
    </w:r>
    <w:r>
      <w:fldChar w:fldCharType="begin"/>
    </w:r>
    <w:r>
      <w:instrText xml:space="preserve">PAGE  </w:instrText>
    </w:r>
    <w:r>
      <w:fldChar w:fldCharType="separate"/>
    </w:r>
    <w:r>
      <w:t>2</w:t>
    </w:r>
    <w:r>
      <w:fldChar w:fldCharType="end"/>
    </w:r>
    <w:r>
      <w:rPr>
        <w:rFonts w:hint="eastAsia"/>
      </w:rPr>
      <w:t>—</w:t>
    </w:r>
  </w:p>
  <w:p w14:paraId="4625F5DF">
    <w:pPr>
      <w:ind w:right="36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1764E">
    <w:pPr>
      <w:ind w:right="7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3"/>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pStyle w:val="9"/>
      <w:lvlText w:val="%6"/>
      <w:legacy w:legacy="1" w:legacySpace="0" w:legacyIndent="0"/>
      <w:lvlJc w:val="left"/>
      <w:rPr>
        <w:rFonts w:hint="eastAsia" w:ascii="宋体" w:eastAsia="宋体"/>
      </w:rPr>
    </w:lvl>
    <w:lvl w:ilvl="6" w:tentative="0">
      <w:start w:val="0"/>
      <w:numFmt w:val="decimal"/>
      <w:pStyle w:val="10"/>
      <w:lvlText w:val="%7"/>
      <w:legacy w:legacy="1" w:legacySpace="0" w:legacyIndent="0"/>
      <w:lvlJc w:val="left"/>
      <w:rPr>
        <w:rFonts w:hint="eastAsia" w:ascii="宋体" w:eastAsia="宋体"/>
      </w:rPr>
    </w:lvl>
    <w:lvl w:ilvl="7" w:tentative="0">
      <w:start w:val="0"/>
      <w:numFmt w:val="decimal"/>
      <w:pStyle w:val="11"/>
      <w:lvlText w:val="%8"/>
      <w:legacy w:legacy="1" w:legacySpace="0" w:legacyIndent="0"/>
      <w:lvlJc w:val="left"/>
      <w:rPr>
        <w:rFonts w:hint="eastAsia" w:ascii="宋体" w:eastAsia="宋体"/>
      </w:rPr>
    </w:lvl>
    <w:lvl w:ilvl="8" w:tentative="0">
      <w:start w:val="0"/>
      <w:numFmt w:val="decimal"/>
      <w:pStyle w:val="12"/>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alignBordersAndEdg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60"/>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NjY1ZjY0NjE0NDhkNGM0MDU1YmY0MzI5NzIzNjkifQ=="/>
  </w:docVars>
  <w:rsids>
    <w:rsidRoot w:val="004522E4"/>
    <w:rsid w:val="00013C15"/>
    <w:rsid w:val="00017CD0"/>
    <w:rsid w:val="000306FC"/>
    <w:rsid w:val="000442F3"/>
    <w:rsid w:val="000661C3"/>
    <w:rsid w:val="00067264"/>
    <w:rsid w:val="000707C3"/>
    <w:rsid w:val="0007500D"/>
    <w:rsid w:val="000764FA"/>
    <w:rsid w:val="00086933"/>
    <w:rsid w:val="000A057C"/>
    <w:rsid w:val="000B770A"/>
    <w:rsid w:val="000E5620"/>
    <w:rsid w:val="000F2F72"/>
    <w:rsid w:val="00105145"/>
    <w:rsid w:val="00111C07"/>
    <w:rsid w:val="001152E3"/>
    <w:rsid w:val="00122F7A"/>
    <w:rsid w:val="00171A1E"/>
    <w:rsid w:val="001947FE"/>
    <w:rsid w:val="001B1D84"/>
    <w:rsid w:val="001B761D"/>
    <w:rsid w:val="001C6DC2"/>
    <w:rsid w:val="001E1BA4"/>
    <w:rsid w:val="001F62EF"/>
    <w:rsid w:val="002000C9"/>
    <w:rsid w:val="0021022E"/>
    <w:rsid w:val="00212CA0"/>
    <w:rsid w:val="002357E0"/>
    <w:rsid w:val="00256800"/>
    <w:rsid w:val="002645C8"/>
    <w:rsid w:val="00284322"/>
    <w:rsid w:val="00293F60"/>
    <w:rsid w:val="00295B41"/>
    <w:rsid w:val="002975C2"/>
    <w:rsid w:val="003224B6"/>
    <w:rsid w:val="0034421C"/>
    <w:rsid w:val="00380116"/>
    <w:rsid w:val="00391489"/>
    <w:rsid w:val="003B62D6"/>
    <w:rsid w:val="003D4612"/>
    <w:rsid w:val="0042419C"/>
    <w:rsid w:val="004522E4"/>
    <w:rsid w:val="00457118"/>
    <w:rsid w:val="00483FB0"/>
    <w:rsid w:val="004A2681"/>
    <w:rsid w:val="004A2D4C"/>
    <w:rsid w:val="004C2023"/>
    <w:rsid w:val="00517238"/>
    <w:rsid w:val="00523B57"/>
    <w:rsid w:val="00527317"/>
    <w:rsid w:val="00566A3C"/>
    <w:rsid w:val="005700E1"/>
    <w:rsid w:val="0057562A"/>
    <w:rsid w:val="005B083F"/>
    <w:rsid w:val="005B57F3"/>
    <w:rsid w:val="005D6168"/>
    <w:rsid w:val="00614A86"/>
    <w:rsid w:val="00617921"/>
    <w:rsid w:val="006432FD"/>
    <w:rsid w:val="006521DB"/>
    <w:rsid w:val="006524A4"/>
    <w:rsid w:val="00654F18"/>
    <w:rsid w:val="00660F61"/>
    <w:rsid w:val="006639C5"/>
    <w:rsid w:val="006C64D3"/>
    <w:rsid w:val="006D0B1E"/>
    <w:rsid w:val="006D664F"/>
    <w:rsid w:val="00714F51"/>
    <w:rsid w:val="0072201F"/>
    <w:rsid w:val="00726032"/>
    <w:rsid w:val="00741695"/>
    <w:rsid w:val="00742FF8"/>
    <w:rsid w:val="00753606"/>
    <w:rsid w:val="00764CFA"/>
    <w:rsid w:val="007A2426"/>
    <w:rsid w:val="007A5C5B"/>
    <w:rsid w:val="007C18AB"/>
    <w:rsid w:val="007D7EA4"/>
    <w:rsid w:val="008056B8"/>
    <w:rsid w:val="00807BDC"/>
    <w:rsid w:val="00824F92"/>
    <w:rsid w:val="008433A5"/>
    <w:rsid w:val="008A546F"/>
    <w:rsid w:val="008A6105"/>
    <w:rsid w:val="008B1621"/>
    <w:rsid w:val="008B2A13"/>
    <w:rsid w:val="008F3A82"/>
    <w:rsid w:val="00901A9A"/>
    <w:rsid w:val="00905E6C"/>
    <w:rsid w:val="00907475"/>
    <w:rsid w:val="00907EF3"/>
    <w:rsid w:val="009238B8"/>
    <w:rsid w:val="0093318E"/>
    <w:rsid w:val="00936A95"/>
    <w:rsid w:val="00947A3B"/>
    <w:rsid w:val="00955E9C"/>
    <w:rsid w:val="0095665B"/>
    <w:rsid w:val="00961D25"/>
    <w:rsid w:val="00967E74"/>
    <w:rsid w:val="00982ED9"/>
    <w:rsid w:val="009911E9"/>
    <w:rsid w:val="00994802"/>
    <w:rsid w:val="009A292C"/>
    <w:rsid w:val="009A4F0C"/>
    <w:rsid w:val="009A6EF2"/>
    <w:rsid w:val="009C5E03"/>
    <w:rsid w:val="009D318F"/>
    <w:rsid w:val="009F5600"/>
    <w:rsid w:val="00A30DE5"/>
    <w:rsid w:val="00A450E9"/>
    <w:rsid w:val="00A8355F"/>
    <w:rsid w:val="00A8757E"/>
    <w:rsid w:val="00AA31BE"/>
    <w:rsid w:val="00AA70C1"/>
    <w:rsid w:val="00AA7CAA"/>
    <w:rsid w:val="00AB5EA8"/>
    <w:rsid w:val="00AB605B"/>
    <w:rsid w:val="00AD0583"/>
    <w:rsid w:val="00AE5957"/>
    <w:rsid w:val="00B01CCB"/>
    <w:rsid w:val="00B21BDF"/>
    <w:rsid w:val="00B25A02"/>
    <w:rsid w:val="00B40F3A"/>
    <w:rsid w:val="00B43EFA"/>
    <w:rsid w:val="00B70EBB"/>
    <w:rsid w:val="00B74DC6"/>
    <w:rsid w:val="00B87DE4"/>
    <w:rsid w:val="00B97CC4"/>
    <w:rsid w:val="00BA3B9E"/>
    <w:rsid w:val="00BC13BD"/>
    <w:rsid w:val="00BC549A"/>
    <w:rsid w:val="00C066B0"/>
    <w:rsid w:val="00C076FE"/>
    <w:rsid w:val="00C128BE"/>
    <w:rsid w:val="00C316A9"/>
    <w:rsid w:val="00C613B2"/>
    <w:rsid w:val="00C65C2B"/>
    <w:rsid w:val="00C95D21"/>
    <w:rsid w:val="00CA4E8F"/>
    <w:rsid w:val="00CA64DB"/>
    <w:rsid w:val="00CA7859"/>
    <w:rsid w:val="00CC51E6"/>
    <w:rsid w:val="00CC7ABD"/>
    <w:rsid w:val="00CE6A0E"/>
    <w:rsid w:val="00CE7660"/>
    <w:rsid w:val="00CF37C5"/>
    <w:rsid w:val="00D03827"/>
    <w:rsid w:val="00D04E7B"/>
    <w:rsid w:val="00D156AC"/>
    <w:rsid w:val="00D23822"/>
    <w:rsid w:val="00D316EB"/>
    <w:rsid w:val="00D34202"/>
    <w:rsid w:val="00D36B77"/>
    <w:rsid w:val="00D47A0C"/>
    <w:rsid w:val="00D6578A"/>
    <w:rsid w:val="00D82595"/>
    <w:rsid w:val="00DA08A9"/>
    <w:rsid w:val="00DA3413"/>
    <w:rsid w:val="00DC2705"/>
    <w:rsid w:val="00DC54FC"/>
    <w:rsid w:val="00DC5A47"/>
    <w:rsid w:val="00DD7C67"/>
    <w:rsid w:val="00DF21C8"/>
    <w:rsid w:val="00DF7D5E"/>
    <w:rsid w:val="00E23515"/>
    <w:rsid w:val="00E27088"/>
    <w:rsid w:val="00E3485A"/>
    <w:rsid w:val="00E374F9"/>
    <w:rsid w:val="00E400EE"/>
    <w:rsid w:val="00E41C02"/>
    <w:rsid w:val="00E96FB3"/>
    <w:rsid w:val="00EA0269"/>
    <w:rsid w:val="00EA34FD"/>
    <w:rsid w:val="00EF132A"/>
    <w:rsid w:val="00F01FEA"/>
    <w:rsid w:val="00F12039"/>
    <w:rsid w:val="00F1581F"/>
    <w:rsid w:val="00F41F93"/>
    <w:rsid w:val="00F46C72"/>
    <w:rsid w:val="00F60959"/>
    <w:rsid w:val="00F6396C"/>
    <w:rsid w:val="00F703B4"/>
    <w:rsid w:val="00F8102E"/>
    <w:rsid w:val="00FB3DB4"/>
    <w:rsid w:val="00FC12CF"/>
    <w:rsid w:val="00FC15F6"/>
    <w:rsid w:val="00FC6146"/>
    <w:rsid w:val="00FE72CD"/>
    <w:rsid w:val="00FF3126"/>
    <w:rsid w:val="07E2107E"/>
    <w:rsid w:val="16F845E1"/>
    <w:rsid w:val="1C706078"/>
    <w:rsid w:val="1D4D53BB"/>
    <w:rsid w:val="1FE50445"/>
    <w:rsid w:val="226A700D"/>
    <w:rsid w:val="26EC0495"/>
    <w:rsid w:val="2C6901AF"/>
    <w:rsid w:val="2F632057"/>
    <w:rsid w:val="38685602"/>
    <w:rsid w:val="3A741181"/>
    <w:rsid w:val="426E73BA"/>
    <w:rsid w:val="47105713"/>
    <w:rsid w:val="4F0674AB"/>
    <w:rsid w:val="51414991"/>
    <w:rsid w:val="59D171E3"/>
    <w:rsid w:val="5D2C6545"/>
    <w:rsid w:val="66F978FF"/>
    <w:rsid w:val="6BE262F0"/>
    <w:rsid w:val="701F5A89"/>
    <w:rsid w:val="709E5899"/>
    <w:rsid w:val="7253648D"/>
    <w:rsid w:val="74B76D91"/>
    <w:rsid w:val="7C7D6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4"/>
    <w:next w:val="4"/>
    <w:qFormat/>
    <w:uiPriority w:val="0"/>
    <w:pPr>
      <w:widowControl/>
      <w:numPr>
        <w:ilvl w:val="0"/>
        <w:numId w:val="1"/>
      </w:numPr>
      <w:adjustRightInd w:val="0"/>
      <w:spacing w:line="600" w:lineRule="exact"/>
      <w:ind w:firstLine="0" w:firstLineChars="0"/>
      <w:jc w:val="center"/>
      <w:textAlignment w:val="baseline"/>
      <w:outlineLvl w:val="0"/>
    </w:pPr>
    <w:rPr>
      <w:rFonts w:ascii="Times New Roman" w:hAnsi="Times New Roman" w:eastAsia="方正小标宋简体"/>
      <w:kern w:val="44"/>
      <w:sz w:val="44"/>
      <w:szCs w:val="44"/>
    </w:rPr>
  </w:style>
  <w:style w:type="paragraph" w:styleId="5">
    <w:name w:val="heading 2"/>
    <w:basedOn w:val="4"/>
    <w:next w:val="4"/>
    <w:qFormat/>
    <w:uiPriority w:val="0"/>
    <w:pPr>
      <w:widowControl/>
      <w:numPr>
        <w:ilvl w:val="1"/>
        <w:numId w:val="0"/>
      </w:numPr>
      <w:adjustRightInd w:val="0"/>
      <w:ind w:firstLine="200" w:firstLineChars="200"/>
      <w:textAlignment w:val="baseline"/>
      <w:outlineLvl w:val="1"/>
    </w:pPr>
    <w:rPr>
      <w:rFonts w:ascii="Arial" w:hAnsi="Arial" w:eastAsia="黑体"/>
      <w:kern w:val="0"/>
      <w:szCs w:val="20"/>
    </w:rPr>
  </w:style>
  <w:style w:type="paragraph" w:styleId="6">
    <w:name w:val="heading 3"/>
    <w:basedOn w:val="1"/>
    <w:next w:val="1"/>
    <w:qFormat/>
    <w:uiPriority w:val="0"/>
    <w:pPr>
      <w:widowControl/>
      <w:numPr>
        <w:ilvl w:val="2"/>
        <w:numId w:val="0"/>
      </w:numPr>
      <w:adjustRightInd w:val="0"/>
      <w:spacing w:line="560" w:lineRule="exact"/>
      <w:ind w:firstLine="200" w:firstLineChars="200"/>
      <w:textAlignment w:val="baseline"/>
      <w:outlineLvl w:val="2"/>
    </w:pPr>
    <w:rPr>
      <w:rFonts w:eastAsia="楷体_GB2312"/>
      <w:kern w:val="0"/>
      <w:szCs w:val="20"/>
    </w:rPr>
  </w:style>
  <w:style w:type="paragraph" w:styleId="7">
    <w:name w:val="heading 4"/>
    <w:basedOn w:val="4"/>
    <w:next w:val="4"/>
    <w:qFormat/>
    <w:uiPriority w:val="0"/>
    <w:pPr>
      <w:widowControl/>
      <w:numPr>
        <w:ilvl w:val="3"/>
        <w:numId w:val="0"/>
      </w:numPr>
      <w:adjustRightInd w:val="0"/>
      <w:ind w:firstLine="200" w:firstLineChars="200"/>
      <w:textAlignment w:val="baseline"/>
      <w:outlineLvl w:val="3"/>
    </w:pPr>
    <w:rPr>
      <w:rFonts w:ascii="Times New Roman" w:hAnsi="Times New Roman"/>
      <w:b/>
      <w:kern w:val="0"/>
      <w:szCs w:val="32"/>
    </w:rPr>
  </w:style>
  <w:style w:type="paragraph" w:styleId="8">
    <w:name w:val="heading 5"/>
    <w:basedOn w:val="4"/>
    <w:next w:val="4"/>
    <w:qFormat/>
    <w:uiPriority w:val="0"/>
    <w:pPr>
      <w:widowControl/>
      <w:numPr>
        <w:ilvl w:val="4"/>
        <w:numId w:val="0"/>
      </w:numPr>
      <w:adjustRightInd w:val="0"/>
      <w:ind w:firstLine="200" w:firstLineChars="200"/>
      <w:textAlignment w:val="baseline"/>
      <w:outlineLvl w:val="4"/>
    </w:pPr>
    <w:rPr>
      <w:kern w:val="0"/>
      <w:sz w:val="32"/>
      <w:szCs w:val="20"/>
    </w:rPr>
  </w:style>
  <w:style w:type="paragraph" w:styleId="9">
    <w:name w:val="heading 6"/>
    <w:basedOn w:val="1"/>
    <w:next w:val="1"/>
    <w:qFormat/>
    <w:uiPriority w:val="0"/>
    <w:pPr>
      <w:keepNext/>
      <w:keepLines/>
      <w:widowControl/>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qFormat/>
    <w:uiPriority w:val="0"/>
    <w:pPr>
      <w:keepNext/>
      <w:keepLines/>
      <w:widowControl/>
      <w:numPr>
        <w:ilvl w:val="6"/>
        <w:numId w:val="1"/>
      </w:numPr>
      <w:adjustRightInd w:val="0"/>
      <w:spacing w:before="240" w:after="64" w:line="320" w:lineRule="atLeast"/>
      <w:textAlignment w:val="baseline"/>
      <w:outlineLvl w:val="6"/>
    </w:pPr>
    <w:rPr>
      <w:b/>
      <w:kern w:val="0"/>
      <w:sz w:val="24"/>
      <w:szCs w:val="20"/>
    </w:rPr>
  </w:style>
  <w:style w:type="paragraph" w:styleId="11">
    <w:name w:val="heading 8"/>
    <w:basedOn w:val="1"/>
    <w:next w:val="1"/>
    <w:qFormat/>
    <w:uiPriority w:val="0"/>
    <w:pPr>
      <w:keepNext/>
      <w:keepLines/>
      <w:widowControl/>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qFormat/>
    <w:uiPriority w:val="0"/>
    <w:pPr>
      <w:keepNext/>
      <w:keepLines/>
      <w:widowControl/>
      <w:numPr>
        <w:ilvl w:val="8"/>
        <w:numId w:val="1"/>
      </w:numPr>
      <w:adjustRightInd w:val="0"/>
      <w:spacing w:before="240" w:after="64" w:line="320" w:lineRule="atLeast"/>
      <w:textAlignment w:val="baseline"/>
      <w:outlineLvl w:val="8"/>
    </w:pPr>
    <w:rPr>
      <w:rFonts w:ascii="Arial" w:hAnsi="Arial" w:eastAsia="黑体"/>
      <w:kern w:val="0"/>
      <w:sz w:val="21"/>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idowControl w:val="0"/>
      <w:ind w:left="200" w:leftChars="200"/>
      <w:jc w:val="both"/>
    </w:pPr>
    <w:rPr>
      <w:rFonts w:ascii="Calibri" w:hAnsi="Calibri" w:eastAsia="宋体" w:cs="宋体"/>
      <w:kern w:val="2"/>
      <w:sz w:val="21"/>
      <w:szCs w:val="22"/>
      <w:lang w:val="en-US" w:eastAsia="zh-CN" w:bidi="ar-SA"/>
    </w:rPr>
  </w:style>
  <w:style w:type="paragraph" w:customStyle="1" w:styleId="4">
    <w:name w:val="住建局正文"/>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13">
    <w:name w:val="Normal Indent"/>
    <w:basedOn w:val="1"/>
    <w:qFormat/>
    <w:uiPriority w:val="0"/>
    <w:pPr>
      <w:ind w:firstLine="420" w:firstLineChars="200"/>
    </w:pPr>
  </w:style>
  <w:style w:type="paragraph" w:styleId="14">
    <w:name w:val="Balloon Text"/>
    <w:basedOn w:val="1"/>
    <w:semiHidden/>
    <w:qFormat/>
    <w:uiPriority w:val="0"/>
    <w:rPr>
      <w:sz w:val="18"/>
      <w:szCs w:val="18"/>
    </w:rPr>
  </w:style>
  <w:style w:type="character" w:customStyle="1" w:styleId="17">
    <w:name w:val="spanyj"/>
    <w:basedOn w:val="16"/>
    <w:qFormat/>
    <w:uiPriority w:val="0"/>
  </w:style>
  <w:style w:type="paragraph" w:customStyle="1" w:styleId="18">
    <w:name w:val="公文正文"/>
    <w:basedOn w:val="1"/>
    <w:qFormat/>
    <w:uiPriority w:val="0"/>
    <w:pPr>
      <w:spacing w:line="600" w:lineRule="exact"/>
      <w:ind w:firstLine="880" w:firstLineChars="200"/>
    </w:pPr>
    <w:rPr>
      <w:szCs w:val="32"/>
    </w:rPr>
  </w:style>
  <w:style w:type="paragraph" w:styleId="19">
    <w:name w:val="List Paragraph"/>
    <w:basedOn w:val="1"/>
    <w:qFormat/>
    <w:uiPriority w:val="34"/>
    <w:pPr>
      <w:ind w:firstLine="420" w:firstLineChars="200"/>
    </w:pPr>
  </w:style>
  <w:style w:type="paragraph" w:customStyle="1" w:styleId="20">
    <w:name w:val="Table Paragraph"/>
    <w:basedOn w:val="1"/>
    <w:qFormat/>
    <w:uiPriority w:val="0"/>
    <w:pPr>
      <w:autoSpaceDE w:val="0"/>
      <w:autoSpaceDN w:val="0"/>
      <w:jc w:val="left"/>
    </w:pPr>
    <w:rPr>
      <w:rFonts w:hint="eastAsia" w:ascii="宋体" w:hAnsi="宋体" w:eastAsia="宋体" w:cs="Times New Roman"/>
      <w:kern w:val="0"/>
      <w:sz w:val="22"/>
      <w:szCs w:val="22"/>
    </w:rPr>
  </w:style>
  <w:style w:type="table" w:customStyle="1" w:styleId="21">
    <w:name w:val="Table Normal"/>
    <w:basedOn w:val="15"/>
    <w:semiHidden/>
    <w:qFormat/>
    <w:uiPriority w:val="0"/>
    <w:pPr>
      <w:widowControl w:val="0"/>
      <w:autoSpaceDE w:val="0"/>
      <w:autoSpaceDN w:val="0"/>
    </w:pPr>
    <w:rPr>
      <w:rFonts w:cs="Times New Roman"/>
      <w:sz w:val="22"/>
      <w:szCs w:val="22"/>
      <w:lang w:eastAsia="en-US"/>
    </w:rPr>
    <w:tblPr>
      <w:tblCellMar>
        <w:top w:w="0" w:type="dxa"/>
        <w:left w:w="0" w:type="dxa"/>
        <w:bottom w:w="0" w:type="dxa"/>
        <w:right w:w="0" w:type="dxa"/>
      </w:tblCellMar>
    </w:tblPr>
  </w:style>
  <w:style w:type="character" w:customStyle="1" w:styleId="22">
    <w:name w:val="font1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001&#24066;&#25919;&#24220;&#20844;&#25991;&#26684;&#24335;&#27169;&#26495;\&#19996;&#24220;&#20989;&#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东府函模板</Template>
  <Company>dgcc</Company>
  <Pages>5</Pages>
  <Words>2649</Words>
  <Characters>2746</Characters>
  <Lines>4</Lines>
  <Paragraphs>1</Paragraphs>
  <TotalTime>3</TotalTime>
  <ScaleCrop>false</ScaleCrop>
  <LinksUpToDate>false</LinksUpToDate>
  <CharactersWithSpaces>2785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2019-01-02T01:48:00Z</dcterms:created>
  <dc:creator>yangl</dc:creator>
  <cp:lastModifiedBy>猫小姐的执着</cp:lastModifiedBy>
  <cp:lastPrinted>2024-08-28T09:04:17Z</cp:lastPrinted>
  <dcterms:modified xsi:type="dcterms:W3CDTF">2024-08-28T09:04:29Z</dcterms:modified>
  <dc:title>东莞市人民政府办公室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46A30AD5987D494F8049B2A8246BAC6C_13</vt:lpwstr>
  </property>
</Properties>
</file>