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东莞市建筑垃圾再生产品应用设计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说明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（模板）</w:t>
      </w:r>
    </w:p>
    <w:p>
      <w:pPr>
        <w:rPr>
          <w:rFonts w:hint="eastAsia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/>
          <w:lang w:val="en-US" w:eastAsia="zh-CN"/>
        </w:rPr>
        <w:t>本工程在以下部位使用建筑垃圾资源化利用再生产品</w:t>
      </w:r>
    </w:p>
    <w:tbl>
      <w:tblPr>
        <w:tblStyle w:val="4"/>
        <w:tblW w:w="9133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952"/>
        <w:gridCol w:w="3896"/>
        <w:gridCol w:w="134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3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使用部位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5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产品名称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强度指标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应用比例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基础砖胎膜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再生骨料混凝土小块型空心砌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再生骨料混凝土实心砖砌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再生骨料非承重混凝土多孔砖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工程弃土烧结多孔砖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工程弃土烧结空心砖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工程弃土烧结普通砖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再生轻集料混凝土小型空心砌块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不小于30%（填具体比例，下同）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砌筑围墙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再生骨料混凝土小块型空心砌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再生骨料混凝土实心砖砌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再生骨料非承重混凝土多孔砖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工程弃土烧结多孔砖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工程弃土烧结空心砖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再生轻集料混凝土小型空心砌块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非承重墙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再生骨料混凝土小型空心砌块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再生骨料混凝土实心砖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再生骨料非承重混凝土多孔砖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工程弃土烧结空心砖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再生轻集料混凝土小型空心砌块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承重墙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工程弃土烧结多孔砖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非承重内墙体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再生骨料混凝土墙板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人行道、自行车道、停车场等路面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再生骨料混凝土路面砖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再生骨料混凝土透水砖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再生骨料混凝土植草砖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护坡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再生骨料混凝土小型空心砌块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再生骨料混凝土实心砖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再生骨料非承重混凝土多孔砖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再生骨料混凝土植草砖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工程弃土烧结多孔砖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工程弃土烧结空心砖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工程弃土烧结普通砖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再生生态护坡砖和干垒挡土墙砌块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再生轻集料混凝土小型空心砌块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管井、管沟、电缆沟、水沟、检查井等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再生骨料混凝土实心砖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工程弃土烧结多孔砖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工程弃土烧结空心砖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工程弃土烧结普通砖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道路路缘部位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再生骨料混凝土路缘石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绿化小品围护部位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再生骨料混凝土透水砖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再生骨料混凝土植草砖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机场、码头、船厂、物流货场、工厂等工程地面铺设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再生码头砖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公路工程：砌筑建筑构筑物非承重墙体、检查井水沟、电缆沟、护坡等工程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免烧渣土砌墙砖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免烧结普通砖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市政工程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砌筑建筑构筑物非承重墙体、检查井水沟、电缆沟、护坡等工程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免烧结普通砖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免烧渣土砌墙砖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不小于30%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  <w:lang w:val="en-US" w:eastAsia="zh-CN" w:bidi="ar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选用的产品质量应通过市场监督管理部门的检验，主要参数应符合相关要求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选用再生产品使用比例应不低于项目使用同一类型产品总量的30%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工程的基础砖胎膜、砌筑围墙、人行道、室外绿化区、停车场、路基垫层及软基处理等部位优先使用再生产品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充分利用建筑废弃材料中块料、碎料作为碎石垫层和碎砖垫层及三合土或四合土垫层，用于园路、人行道、停车场、广场的地面垫层。垫层厚度不应小于100mm，且宜符合现行《建筑地面设计规范》GB 50037有关规定。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工程中再生骨料砂浆的应用，应符合下列规定：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（1）砂浆的品种选用应根据设计和施工等要求确定。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（2）不同品种或不同规格的砂浆不应混合使用。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（3）再生骨料砂浆较为适用于有保温和隔声等特殊要求的场合。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（4）再生骨料砂浆不宜用于有防水、防潮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"/>
        </w:rPr>
        <w:t>，或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震动较大要求的场合。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（5）再生骨料砂浆不宜用于有拉毛、水刷、干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粘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等装饰施工工艺要求的场合，也不宜用于有耐磨、耐酸、放射线以及自流平等施工工艺的场合。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再生骨料砌块（砖）、非承重型再生骨料混凝土小型空心砌块、再生骨料非承重混凝土空心砖、烧结工程余土空心砌块（砖）和非烧结工程余土多孔砌块（砖），用于砌筑建筑工程中的非承重墙体，其适用部位及其最低强度等级应满足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园林景观工程中应充分利用原有地形，尽量避免土方开挖，并尽可能回收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符合条件的工程渣土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营造地形，或以就地填埋方式处理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 w:bidi="ar"/>
        </w:rPr>
        <w:t>符合条件的工程渣土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zhmNzdlZmE0Nzg3MzAzNzU4NWU5YmFmMTNmMDgifQ=="/>
  </w:docVars>
  <w:rsids>
    <w:rsidRoot w:val="25475F19"/>
    <w:rsid w:val="028D5698"/>
    <w:rsid w:val="0C3E5342"/>
    <w:rsid w:val="25475F19"/>
    <w:rsid w:val="4977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1368</Words>
  <Characters>1412</Characters>
  <Lines>0</Lines>
  <Paragraphs>0</Paragraphs>
  <TotalTime>1</TotalTime>
  <ScaleCrop>false</ScaleCrop>
  <LinksUpToDate>false</LinksUpToDate>
  <CharactersWithSpaces>1413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2024-07-01T00:46:00Z</dcterms:created>
  <dc:creator>展航</dc:creator>
  <cp:lastModifiedBy>展航</cp:lastModifiedBy>
  <dcterms:modified xsi:type="dcterms:W3CDTF">2024-07-01T02:27:25Z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A83777CBF007415385AE0C3282FE46B4_11</vt:lpwstr>
  </property>
</Properties>
</file>