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5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85" w:lineRule="auto"/>
        <w:rPr>
          <w:rFonts w:ascii="Arial"/>
          <w:sz w:val="21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1</w:t>
      </w:r>
    </w:p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val="en-US" w:eastAsia="zh-CN"/>
        </w:rPr>
        <w:t>谢岗镇配建安居房项目情况表</w:t>
      </w:r>
    </w:p>
    <w:p/>
    <w:p>
      <w:pPr>
        <w:spacing w:line="36" w:lineRule="exact"/>
      </w:pPr>
    </w:p>
    <w:tbl>
      <w:tblPr>
        <w:tblStyle w:val="5"/>
        <w:tblW w:w="1490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795"/>
        <w:gridCol w:w="1290"/>
        <w:gridCol w:w="1125"/>
        <w:gridCol w:w="780"/>
        <w:gridCol w:w="1230"/>
        <w:gridCol w:w="1020"/>
        <w:gridCol w:w="2265"/>
        <w:gridCol w:w="1200"/>
        <w:gridCol w:w="1470"/>
        <w:gridCol w:w="1575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240" w:type="dxa"/>
            <w:vMerge w:val="restart"/>
            <w:vAlign w:val="center"/>
          </w:tcPr>
          <w:p>
            <w:pPr>
              <w:spacing w:before="101" w:line="226" w:lineRule="auto"/>
              <w:jc w:val="center"/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spacing w:before="101" w:line="226" w:lineRule="auto"/>
              <w:jc w:val="center"/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spacing w:before="101" w:line="226" w:lineRule="auto"/>
              <w:jc w:val="center"/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  <w:t>性质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spacing w:before="101" w:line="226" w:lineRule="auto"/>
              <w:jc w:val="center"/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  <w:t>销售方式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spacing w:before="101" w:line="226" w:lineRule="auto"/>
              <w:jc w:val="center"/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  <w:t>栋号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before="101" w:line="226" w:lineRule="auto"/>
              <w:jc w:val="center"/>
              <w:rPr>
                <w:rFonts w:hint="default" w:ascii="黑体" w:hAnsi="黑体" w:eastAsia="黑体" w:cs="黑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  <w:t>梯户情况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spacing w:before="101" w:line="226" w:lineRule="auto"/>
              <w:jc w:val="center"/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  <w:t>总层高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spacing w:before="101" w:line="226" w:lineRule="auto"/>
              <w:jc w:val="center"/>
              <w:rPr>
                <w:rFonts w:hint="default" w:ascii="黑体" w:hAnsi="黑体" w:eastAsia="黑体" w:cs="黑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  <w:t>物业费标准</w:t>
            </w:r>
          </w:p>
        </w:tc>
        <w:tc>
          <w:tcPr>
            <w:tcW w:w="5160" w:type="dxa"/>
            <w:gridSpan w:val="4"/>
            <w:vAlign w:val="center"/>
          </w:tcPr>
          <w:p>
            <w:pPr>
              <w:spacing w:before="101" w:line="226" w:lineRule="auto"/>
              <w:jc w:val="center"/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  <w:t>房源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spacing w:before="101" w:line="226" w:lineRule="auto"/>
              <w:jc w:val="center"/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spacing w:before="101" w:line="226" w:lineRule="auto"/>
              <w:jc w:val="center"/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spacing w:before="101" w:line="226" w:lineRule="auto"/>
              <w:jc w:val="center"/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1" w:line="226" w:lineRule="auto"/>
              <w:jc w:val="center"/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pacing w:before="101" w:line="226" w:lineRule="auto"/>
              <w:jc w:val="center"/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spacing w:before="101" w:line="226" w:lineRule="auto"/>
              <w:jc w:val="center"/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before="101" w:line="226" w:lineRule="auto"/>
              <w:jc w:val="center"/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spacing w:before="101" w:line="226" w:lineRule="auto"/>
              <w:jc w:val="center"/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01" w:line="226" w:lineRule="auto"/>
              <w:jc w:val="center"/>
              <w:rPr>
                <w:rFonts w:hint="default" w:ascii="黑体" w:hAnsi="黑体" w:eastAsia="黑体" w:cs="黑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  <w:t>套数小计</w:t>
            </w:r>
          </w:p>
        </w:tc>
        <w:tc>
          <w:tcPr>
            <w:tcW w:w="1470" w:type="dxa"/>
            <w:vAlign w:val="center"/>
          </w:tcPr>
          <w:p>
            <w:pPr>
              <w:spacing w:before="101" w:line="226" w:lineRule="auto"/>
              <w:jc w:val="center"/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  <w:t>户型</w:t>
            </w:r>
          </w:p>
        </w:tc>
        <w:tc>
          <w:tcPr>
            <w:tcW w:w="1575" w:type="dxa"/>
            <w:vAlign w:val="center"/>
          </w:tcPr>
          <w:p>
            <w:pPr>
              <w:spacing w:before="101" w:line="226" w:lineRule="auto"/>
              <w:jc w:val="center"/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  <w:t>建筑面积</w:t>
            </w:r>
          </w:p>
        </w:tc>
        <w:tc>
          <w:tcPr>
            <w:tcW w:w="915" w:type="dxa"/>
            <w:vAlign w:val="center"/>
          </w:tcPr>
          <w:p>
            <w:pPr>
              <w:spacing w:before="101" w:line="226" w:lineRule="auto"/>
              <w:jc w:val="center"/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  <w:t>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依城大观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谢岗镇谢山村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共有产权，镇属配建安居房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现售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7号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两梯四户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26层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52套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三房两厅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97.09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㎡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四房两厅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115.65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㎡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四房两厅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119.44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㎡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森悦花园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谢岗镇大厚村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共有产权，镇属配建安居房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现售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10号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两梯六户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19层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35套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三房两厅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81.09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㎡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三房两厅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91.64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㎡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四房两厅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117.5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㎡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</w:tr>
    </w:tbl>
    <w:p>
      <w:pPr>
        <w:spacing w:before="187" w:line="3405" w:lineRule="exact"/>
        <w:textAlignment w:val="center"/>
      </w:pPr>
    </w:p>
    <w:sectPr>
      <w:pgSz w:w="16840" w:h="11910"/>
      <w:pgMar w:top="1012" w:right="1304" w:bottom="0" w:left="130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revisionView w:markup="0"/>
  <w:trackRevisions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ZkMzRhNDRkNjA4ZjgzYzY2OGJkZDY5ZGZkYzE2MDcifQ=="/>
  </w:docVars>
  <w:rsids>
    <w:rsidRoot w:val="00000000"/>
    <w:rsid w:val="08214ECC"/>
    <w:rsid w:val="0B865355"/>
    <w:rsid w:val="0EFE7600"/>
    <w:rsid w:val="0FA0155E"/>
    <w:rsid w:val="1FFE375A"/>
    <w:rsid w:val="2C39419F"/>
    <w:rsid w:val="31B36AAC"/>
    <w:rsid w:val="39E33E0C"/>
    <w:rsid w:val="3C231720"/>
    <w:rsid w:val="3D1C6129"/>
    <w:rsid w:val="3DC3332F"/>
    <w:rsid w:val="4A227A20"/>
    <w:rsid w:val="4BC55AA3"/>
    <w:rsid w:val="635B2153"/>
    <w:rsid w:val="63757380"/>
    <w:rsid w:val="66F65783"/>
    <w:rsid w:val="6BEB646A"/>
    <w:rsid w:val="745F4698"/>
    <w:rsid w:val="77015CD9"/>
    <w:rsid w:val="7D3F70BD"/>
    <w:rsid w:val="F7674933"/>
    <w:rsid w:val="FFFED49D"/>
    <w:rsid w:val="FFFF48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398</Words>
  <Characters>510</Characters>
  <TotalTime>0</TotalTime>
  <ScaleCrop>false</ScaleCrop>
  <LinksUpToDate>false</LinksUpToDate>
  <CharactersWithSpaces>537</CharactersWithSpaces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2022-10-20T08:27:00Z</dcterms:created>
  <dc:creator>JackFa</dc:creator>
  <cp:lastModifiedBy>uos</cp:lastModifiedBy>
  <cp:lastPrinted>2024-01-22T09:01:40Z</cp:lastPrinted>
  <dcterms:modified xsi:type="dcterms:W3CDTF">2024-01-22T09:01:44Z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2022-10-19T16:28:03Z</vt:filetime>
  </property>
  <property fmtid="{D5CDD505-2E9C-101B-9397-08002B2CF9AE}" pid="4" name="KSOProductBuildVer">
    <vt:lpwstr>2052-11.8.2.10422</vt:lpwstr>
  </property>
  <property fmtid="{D5CDD505-2E9C-101B-9397-08002B2CF9AE}" pid="5" name="ICV">
    <vt:lpwstr>A91DA6D6B82B4318987A39572B8955BD</vt:lpwstr>
  </property>
</Properties>
</file>