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F0" w:rsidRPr="00CC0706" w:rsidRDefault="00FF46E8">
      <w:pPr>
        <w:spacing w:line="600" w:lineRule="exact"/>
        <w:jc w:val="center"/>
        <w:textAlignment w:val="baseline"/>
        <w:rPr>
          <w:rFonts w:ascii="方正小标宋简体" w:eastAsia="方正小标宋简体" w:hAnsi="Times New Roman" w:cs="Times New Roman" w:hint="eastAsia"/>
          <w:sz w:val="44"/>
          <w:szCs w:val="44"/>
        </w:rPr>
      </w:pPr>
      <w:r w:rsidRPr="00CC0706">
        <w:rPr>
          <w:rFonts w:ascii="方正小标宋简体" w:eastAsia="方正小标宋简体" w:hAnsi="Times New Roman" w:cs="Times New Roman" w:hint="eastAsia"/>
          <w:sz w:val="44"/>
          <w:szCs w:val="44"/>
        </w:rPr>
        <w:t>“东莞建造”优质</w:t>
      </w:r>
      <w:r w:rsidRPr="00CC0706">
        <w:rPr>
          <w:rFonts w:ascii="方正小标宋简体" w:eastAsia="方正小标宋简体" w:hAnsi="Times New Roman" w:cs="Times New Roman" w:hint="eastAsia"/>
          <w:sz w:val="44"/>
          <w:szCs w:val="44"/>
        </w:rPr>
        <w:t>监理</w:t>
      </w:r>
      <w:r w:rsidRPr="00CC0706">
        <w:rPr>
          <w:rFonts w:ascii="方正小标宋简体" w:eastAsia="方正小标宋简体" w:hAnsi="Times New Roman" w:cs="Times New Roman" w:hint="eastAsia"/>
          <w:sz w:val="44"/>
          <w:szCs w:val="44"/>
        </w:rPr>
        <w:t>企业评价</w:t>
      </w:r>
    </w:p>
    <w:p w:rsidR="00406DF0" w:rsidRPr="00CC0706" w:rsidRDefault="00FF46E8">
      <w:pPr>
        <w:spacing w:line="600" w:lineRule="exact"/>
        <w:jc w:val="center"/>
        <w:textAlignment w:val="baseline"/>
        <w:rPr>
          <w:rFonts w:ascii="方正小标宋简体" w:eastAsia="方正小标宋简体" w:hAnsi="Times New Roman" w:cs="Times New Roman" w:hint="eastAsia"/>
          <w:sz w:val="44"/>
          <w:szCs w:val="44"/>
        </w:rPr>
      </w:pPr>
      <w:r w:rsidRPr="00CC0706">
        <w:rPr>
          <w:rFonts w:ascii="方正小标宋简体" w:eastAsia="方正小标宋简体" w:hAnsi="Times New Roman" w:cs="Times New Roman" w:hint="eastAsia"/>
          <w:sz w:val="44"/>
          <w:szCs w:val="44"/>
        </w:rPr>
        <w:t>工作方案</w:t>
      </w:r>
    </w:p>
    <w:p w:rsidR="00406DF0" w:rsidRDefault="00406DF0">
      <w:pPr>
        <w:spacing w:line="560" w:lineRule="exact"/>
        <w:ind w:firstLineChars="200" w:firstLine="640"/>
        <w:jc w:val="left"/>
        <w:rPr>
          <w:rFonts w:ascii="Times New Roman" w:eastAsia="仿宋_GB2312" w:hAnsi="Times New Roman" w:cs="Times New Roman"/>
          <w:sz w:val="32"/>
          <w:szCs w:val="32"/>
        </w:rPr>
      </w:pPr>
    </w:p>
    <w:p w:rsidR="00406DF0" w:rsidRDefault="00FF46E8">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为进一步促进我市建筑业发展</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城市品质，提高优质</w:t>
      </w:r>
      <w:r>
        <w:rPr>
          <w:rFonts w:ascii="Times New Roman" w:eastAsia="仿宋_GB2312" w:hAnsi="Times New Roman" w:cs="Times New Roman" w:hint="eastAsia"/>
          <w:sz w:val="32"/>
          <w:szCs w:val="32"/>
        </w:rPr>
        <w:t>工程监理</w:t>
      </w:r>
      <w:r>
        <w:rPr>
          <w:rFonts w:ascii="Times New Roman" w:eastAsia="仿宋_GB2312" w:hAnsi="Times New Roman" w:cs="Times New Roman"/>
          <w:sz w:val="32"/>
          <w:szCs w:val="32"/>
        </w:rPr>
        <w:t>企业美誉度，培育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工程监理</w:t>
      </w:r>
      <w:r>
        <w:rPr>
          <w:rFonts w:ascii="Times New Roman" w:eastAsia="仿宋_GB2312" w:hAnsi="Times New Roman" w:cs="Times New Roman"/>
          <w:sz w:val="32"/>
          <w:szCs w:val="32"/>
        </w:rPr>
        <w:t>企业名</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，结合前期调研情况，</w:t>
      </w:r>
      <w:r>
        <w:rPr>
          <w:rFonts w:ascii="Times New Roman" w:eastAsia="仿宋_GB2312" w:hAnsi="Times New Roman" w:cs="Times New Roman" w:hint="eastAsia"/>
          <w:sz w:val="32"/>
          <w:szCs w:val="32"/>
        </w:rPr>
        <w:t>市住建局制定了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工程监理</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评价工作</w:t>
      </w:r>
      <w:r>
        <w:rPr>
          <w:rFonts w:ascii="Times New Roman" w:eastAsia="仿宋_GB2312" w:hAnsi="Times New Roman" w:cs="Times New Roman"/>
          <w:sz w:val="32"/>
          <w:szCs w:val="32"/>
        </w:rPr>
        <w:t>方案，</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rsidR="00406DF0" w:rsidRDefault="00FF46E8">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一、评价对象</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具有住建部门颁发</w:t>
      </w:r>
      <w:r>
        <w:rPr>
          <w:rFonts w:ascii="Times New Roman" w:eastAsia="仿宋_GB2312" w:hAnsi="Times New Roman" w:cs="Times New Roman" w:hint="eastAsia"/>
          <w:sz w:val="32"/>
          <w:szCs w:val="32"/>
        </w:rPr>
        <w:t>房屋建筑工程</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市政公用工程专业资质以上的监理</w:t>
      </w:r>
      <w:r>
        <w:rPr>
          <w:rFonts w:ascii="Times New Roman" w:eastAsia="仿宋_GB2312" w:hAnsi="Times New Roman" w:cs="Times New Roman"/>
          <w:sz w:val="32"/>
          <w:szCs w:val="32"/>
        </w:rPr>
        <w:t>企业。</w:t>
      </w:r>
    </w:p>
    <w:p w:rsidR="00406DF0" w:rsidRDefault="00FF46E8">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二、评价原则</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综合评价</w:t>
      </w:r>
      <w:r>
        <w:rPr>
          <w:rFonts w:ascii="Times New Roman" w:eastAsia="仿宋_GB2312" w:hAnsi="Times New Roman" w:cs="Times New Roman" w:hint="eastAsia"/>
          <w:sz w:val="32"/>
          <w:szCs w:val="32"/>
        </w:rPr>
        <w:t>，突出人员素质、服务品质</w:t>
      </w:r>
      <w:r>
        <w:rPr>
          <w:rFonts w:ascii="Times New Roman" w:eastAsia="仿宋_GB2312" w:hAnsi="Times New Roman" w:cs="Times New Roman"/>
          <w:sz w:val="32"/>
          <w:szCs w:val="32"/>
        </w:rPr>
        <w:t>。</w:t>
      </w:r>
    </w:p>
    <w:p w:rsidR="00406DF0" w:rsidRDefault="00FF46E8">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三、评价指标和标准</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评价指标包括：</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年度税收贡献</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年度量化评价结果</w:t>
      </w:r>
      <w:r>
        <w:rPr>
          <w:rFonts w:ascii="Times New Roman" w:eastAsia="仿宋_GB2312" w:hAnsi="Times New Roman" w:cs="Times New Roman" w:hint="eastAsia"/>
          <w:color w:val="000000" w:themeColor="text1"/>
          <w:sz w:val="32"/>
          <w:szCs w:val="32"/>
          <w:highlight w:val="yellow"/>
        </w:rPr>
        <w:t>，</w:t>
      </w:r>
      <w:r>
        <w:rPr>
          <w:rFonts w:ascii="Times New Roman" w:eastAsia="仿宋_GB2312" w:hAnsi="Times New Roman" w:cs="Times New Roman"/>
          <w:color w:val="000000" w:themeColor="text1"/>
          <w:sz w:val="32"/>
          <w:szCs w:val="32"/>
          <w:highlight w:val="yellow"/>
        </w:rPr>
        <w:t>评价时企业资质、人才情况</w:t>
      </w:r>
      <w:r>
        <w:rPr>
          <w:rFonts w:ascii="Times New Roman" w:eastAsia="仿宋_GB2312" w:hAnsi="Times New Roman" w:cs="Times New Roman" w:hint="eastAsia"/>
          <w:color w:val="000000" w:themeColor="text1"/>
          <w:sz w:val="32"/>
          <w:szCs w:val="32"/>
          <w:highlight w:val="yellow"/>
        </w:rPr>
        <w:t>以及</w:t>
      </w:r>
      <w:r>
        <w:rPr>
          <w:rFonts w:ascii="Times New Roman" w:eastAsia="仿宋_GB2312" w:hAnsi="Times New Roman" w:cs="Times New Roman"/>
          <w:color w:val="000000" w:themeColor="text1"/>
          <w:sz w:val="32"/>
          <w:szCs w:val="32"/>
          <w:highlight w:val="yellow"/>
        </w:rPr>
        <w:t>信用分值</w:t>
      </w:r>
      <w:r>
        <w:rPr>
          <w:rFonts w:ascii="Times New Roman" w:eastAsia="仿宋_GB2312" w:hAnsi="Times New Roman" w:cs="Times New Roman"/>
          <w:sz w:val="32"/>
          <w:szCs w:val="32"/>
        </w:rPr>
        <w:t>。评价满分为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分。各指标权重和评价标准见下表。</w:t>
      </w:r>
    </w:p>
    <w:p w:rsidR="00406DF0" w:rsidRDefault="00406DF0">
      <w:pPr>
        <w:spacing w:line="560" w:lineRule="exact"/>
        <w:ind w:firstLine="640"/>
        <w:rPr>
          <w:rFonts w:ascii="Times New Roman" w:eastAsia="仿宋_GB2312" w:hAnsi="Times New Roman" w:cs="Times New Roman"/>
          <w:sz w:val="32"/>
          <w:szCs w:val="32"/>
        </w:rPr>
      </w:pPr>
    </w:p>
    <w:p w:rsidR="00406DF0" w:rsidRDefault="00406DF0">
      <w:pPr>
        <w:spacing w:line="560" w:lineRule="exact"/>
        <w:ind w:firstLine="640"/>
        <w:rPr>
          <w:rFonts w:ascii="Times New Roman" w:eastAsia="仿宋_GB2312" w:hAnsi="Times New Roman" w:cs="Times New Roman"/>
          <w:sz w:val="32"/>
          <w:szCs w:val="32"/>
        </w:rPr>
      </w:pPr>
    </w:p>
    <w:p w:rsidR="00406DF0" w:rsidRDefault="00406DF0">
      <w:pPr>
        <w:spacing w:line="560" w:lineRule="exact"/>
        <w:ind w:firstLine="640"/>
        <w:rPr>
          <w:rFonts w:ascii="Times New Roman" w:eastAsia="仿宋_GB2312" w:hAnsi="Times New Roman" w:cs="Times New Roman"/>
          <w:sz w:val="32"/>
          <w:szCs w:val="32"/>
        </w:rPr>
      </w:pPr>
    </w:p>
    <w:p w:rsidR="00406DF0" w:rsidRDefault="00406DF0">
      <w:pPr>
        <w:spacing w:line="560" w:lineRule="exact"/>
        <w:ind w:firstLine="640"/>
        <w:rPr>
          <w:rFonts w:ascii="Times New Roman" w:eastAsia="仿宋_GB2312" w:hAnsi="Times New Roman" w:cs="Times New Roman"/>
          <w:sz w:val="32"/>
          <w:szCs w:val="32"/>
        </w:rPr>
      </w:pPr>
    </w:p>
    <w:p w:rsidR="00406DF0" w:rsidRDefault="00406DF0">
      <w:pPr>
        <w:spacing w:line="560" w:lineRule="exact"/>
        <w:rPr>
          <w:rFonts w:ascii="Times New Roman" w:eastAsia="仿宋_GB2312" w:hAnsi="Times New Roman" w:cs="Times New Roman"/>
          <w:sz w:val="32"/>
          <w:szCs w:val="32"/>
        </w:rPr>
      </w:pPr>
    </w:p>
    <w:p w:rsidR="00406DF0" w:rsidRDefault="00406DF0">
      <w:pPr>
        <w:spacing w:line="560" w:lineRule="exact"/>
        <w:rPr>
          <w:rFonts w:ascii="Times New Roman" w:eastAsia="仿宋_GB2312" w:hAnsi="Times New Roman" w:cs="Times New Roman"/>
          <w:sz w:val="32"/>
          <w:szCs w:val="32"/>
        </w:rPr>
      </w:pPr>
    </w:p>
    <w:p w:rsidR="00406DF0" w:rsidRDefault="00406DF0">
      <w:pPr>
        <w:spacing w:line="560" w:lineRule="exact"/>
        <w:rPr>
          <w:rFonts w:ascii="Times New Roman" w:eastAsia="仿宋_GB2312" w:hAnsi="Times New Roman" w:cs="Times New Roman"/>
          <w:sz w:val="32"/>
          <w:szCs w:val="32"/>
        </w:rPr>
      </w:pPr>
    </w:p>
    <w:tbl>
      <w:tblPr>
        <w:tblW w:w="8504" w:type="dxa"/>
        <w:tblLayout w:type="fixed"/>
        <w:tblCellMar>
          <w:left w:w="0" w:type="dxa"/>
          <w:right w:w="0" w:type="dxa"/>
        </w:tblCellMar>
        <w:tblLook w:val="04A0"/>
      </w:tblPr>
      <w:tblGrid>
        <w:gridCol w:w="551"/>
        <w:gridCol w:w="1783"/>
        <w:gridCol w:w="1299"/>
        <w:gridCol w:w="3624"/>
        <w:gridCol w:w="1247"/>
      </w:tblGrid>
      <w:tr w:rsidR="00406DF0">
        <w:trPr>
          <w:trHeight w:val="438"/>
        </w:trPr>
        <w:tc>
          <w:tcPr>
            <w:tcW w:w="8504" w:type="dxa"/>
            <w:gridSpan w:val="5"/>
            <w:tcBorders>
              <w:top w:val="nil"/>
              <w:left w:val="nil"/>
              <w:bottom w:val="nil"/>
              <w:right w:val="nil"/>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
                <w:bCs/>
                <w:kern w:val="0"/>
                <w:sz w:val="36"/>
                <w:szCs w:val="36"/>
              </w:rPr>
            </w:pPr>
          </w:p>
          <w:p w:rsidR="00406DF0" w:rsidRDefault="00406DF0">
            <w:pPr>
              <w:widowControl/>
              <w:spacing w:line="360" w:lineRule="exact"/>
              <w:jc w:val="center"/>
              <w:textAlignment w:val="center"/>
              <w:rPr>
                <w:rFonts w:ascii="Times New Roman" w:eastAsia="仿宋_GB2312" w:hAnsi="Times New Roman" w:cs="Times New Roman"/>
                <w:b/>
                <w:bCs/>
                <w:kern w:val="0"/>
                <w:sz w:val="36"/>
                <w:szCs w:val="36"/>
              </w:rPr>
            </w:pPr>
          </w:p>
          <w:p w:rsidR="00406DF0" w:rsidRDefault="00406DF0">
            <w:pPr>
              <w:widowControl/>
              <w:spacing w:line="360" w:lineRule="exact"/>
              <w:jc w:val="center"/>
              <w:textAlignment w:val="center"/>
              <w:rPr>
                <w:rFonts w:ascii="Times New Roman" w:eastAsia="仿宋_GB2312" w:hAnsi="Times New Roman" w:cs="Times New Roman"/>
                <w:b/>
                <w:bCs/>
                <w:kern w:val="0"/>
                <w:sz w:val="36"/>
                <w:szCs w:val="36"/>
              </w:rPr>
            </w:pPr>
          </w:p>
          <w:p w:rsidR="00406DF0" w:rsidRDefault="00406DF0">
            <w:pPr>
              <w:widowControl/>
              <w:spacing w:line="360" w:lineRule="exact"/>
              <w:jc w:val="center"/>
              <w:textAlignment w:val="center"/>
              <w:rPr>
                <w:rFonts w:ascii="Times New Roman" w:eastAsia="仿宋_GB2312" w:hAnsi="Times New Roman" w:cs="Times New Roman"/>
                <w:b/>
                <w:bCs/>
                <w:kern w:val="0"/>
                <w:sz w:val="36"/>
                <w:szCs w:val="36"/>
              </w:rPr>
            </w:pPr>
          </w:p>
          <w:p w:rsidR="00406DF0" w:rsidRDefault="00FF46E8">
            <w:pPr>
              <w:widowControl/>
              <w:spacing w:line="360" w:lineRule="exact"/>
              <w:jc w:val="center"/>
              <w:textAlignment w:val="center"/>
              <w:rPr>
                <w:rFonts w:ascii="Times New Roman" w:eastAsia="仿宋_GB2312" w:hAnsi="Times New Roman" w:cs="Times New Roman"/>
                <w:bCs/>
                <w:sz w:val="36"/>
                <w:szCs w:val="36"/>
              </w:rPr>
            </w:pPr>
            <w:r>
              <w:rPr>
                <w:rFonts w:ascii="Times New Roman" w:eastAsia="仿宋_GB2312" w:hAnsi="Times New Roman" w:cs="Times New Roman" w:hint="eastAsia"/>
                <w:b/>
                <w:bCs/>
                <w:kern w:val="0"/>
                <w:sz w:val="36"/>
                <w:szCs w:val="36"/>
              </w:rPr>
              <w:lastRenderedPageBreak/>
              <w:t>工程监理企业</w:t>
            </w:r>
            <w:r>
              <w:rPr>
                <w:rFonts w:ascii="Times New Roman" w:eastAsia="仿宋_GB2312" w:hAnsi="Times New Roman" w:cs="Times New Roman"/>
                <w:b/>
                <w:bCs/>
                <w:kern w:val="0"/>
                <w:sz w:val="36"/>
                <w:szCs w:val="36"/>
              </w:rPr>
              <w:t>评价指标及评分标准构成表</w:t>
            </w:r>
          </w:p>
        </w:tc>
      </w:tr>
      <w:tr w:rsidR="00406DF0">
        <w:trPr>
          <w:trHeight w:val="569"/>
        </w:trPr>
        <w:tc>
          <w:tcPr>
            <w:tcW w:w="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序号</w:t>
            </w: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评价事项</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单项权重</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评价标准</w:t>
            </w: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评分分值</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r>
      <w:tr w:rsidR="00406DF0">
        <w:trPr>
          <w:trHeight w:val="313"/>
        </w:trPr>
        <w:tc>
          <w:tcPr>
            <w:tcW w:w="551" w:type="dxa"/>
            <w:vMerge w:val="restart"/>
            <w:tcBorders>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c>
          <w:tcPr>
            <w:tcW w:w="1783" w:type="dxa"/>
            <w:vMerge w:val="restart"/>
            <w:tcBorders>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企业资质</w:t>
            </w:r>
          </w:p>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工程监理综合</w:t>
            </w:r>
            <w:r>
              <w:rPr>
                <w:rFonts w:ascii="Times New Roman" w:eastAsia="仿宋_GB2312" w:hAnsi="Times New Roman" w:cs="Times New Roman"/>
                <w:bCs/>
                <w:sz w:val="24"/>
                <w:szCs w:val="24"/>
              </w:rPr>
              <w:t>资质</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406DF0">
        <w:trPr>
          <w:trHeight w:val="697"/>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房屋建筑工程或市政公用工程甲级资质得</w:t>
            </w:r>
            <w:r>
              <w:rPr>
                <w:rFonts w:ascii="Times New Roman" w:eastAsia="仿宋_GB2312" w:hAnsi="Times New Roman" w:cs="Times New Roman"/>
                <w:bCs/>
                <w:sz w:val="24"/>
                <w:szCs w:val="24"/>
              </w:rPr>
              <w:t>15</w:t>
            </w:r>
            <w:r>
              <w:rPr>
                <w:rFonts w:ascii="Times New Roman" w:eastAsia="仿宋_GB2312" w:hAnsi="Times New Roman" w:cs="Times New Roman" w:hint="eastAsia"/>
                <w:bCs/>
                <w:sz w:val="24"/>
                <w:szCs w:val="24"/>
              </w:rPr>
              <w:t>分</w:t>
            </w:r>
            <w:r>
              <w:rPr>
                <w:rFonts w:ascii="Times New Roman" w:eastAsia="仿宋_GB2312" w:hAnsi="Times New Roman" w:cs="Times New Roman"/>
                <w:bCs/>
                <w:sz w:val="24"/>
                <w:szCs w:val="24"/>
              </w:rPr>
              <w:t>，有多项</w:t>
            </w:r>
            <w:r>
              <w:rPr>
                <w:rFonts w:ascii="Times New Roman" w:eastAsia="仿宋_GB2312" w:hAnsi="Times New Roman" w:cs="Times New Roman" w:hint="eastAsia"/>
                <w:bCs/>
                <w:sz w:val="24"/>
                <w:szCs w:val="24"/>
              </w:rPr>
              <w:t>监理</w:t>
            </w:r>
            <w:r>
              <w:rPr>
                <w:rFonts w:ascii="Times New Roman" w:eastAsia="仿宋_GB2312" w:hAnsi="Times New Roman" w:cs="Times New Roman"/>
                <w:bCs/>
                <w:sz w:val="24"/>
                <w:szCs w:val="24"/>
              </w:rPr>
              <w:t>专业甲级资质的，每多一项加</w:t>
            </w:r>
            <w:r>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分，有多项</w:t>
            </w:r>
            <w:r>
              <w:rPr>
                <w:rFonts w:ascii="Times New Roman" w:eastAsia="仿宋_GB2312" w:hAnsi="Times New Roman" w:cs="Times New Roman" w:hint="eastAsia"/>
                <w:bCs/>
                <w:sz w:val="24"/>
                <w:szCs w:val="24"/>
              </w:rPr>
              <w:t>监理</w:t>
            </w:r>
            <w:r>
              <w:rPr>
                <w:rFonts w:ascii="Times New Roman" w:eastAsia="仿宋_GB2312" w:hAnsi="Times New Roman" w:cs="Times New Roman"/>
                <w:bCs/>
                <w:sz w:val="24"/>
                <w:szCs w:val="24"/>
              </w:rPr>
              <w:t>专业乙级资质的，每多一项加</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最高</w:t>
            </w:r>
            <w:r>
              <w:rPr>
                <w:rFonts w:ascii="Times New Roman" w:eastAsia="仿宋_GB2312" w:hAnsi="Times New Roman" w:cs="Times New Roman"/>
                <w:bCs/>
                <w:sz w:val="24"/>
                <w:szCs w:val="24"/>
              </w:rPr>
              <w:t>18</w:t>
            </w:r>
            <w:r>
              <w:rPr>
                <w:rFonts w:ascii="Times New Roman" w:eastAsia="仿宋_GB2312" w:hAnsi="Times New Roman" w:cs="Times New Roman"/>
                <w:bCs/>
                <w:sz w:val="24"/>
                <w:szCs w:val="24"/>
              </w:rPr>
              <w:t>分。</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15</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18</w:t>
            </w:r>
          </w:p>
        </w:tc>
      </w:tr>
      <w:tr w:rsidR="00406DF0">
        <w:trPr>
          <w:trHeight w:val="697"/>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房屋建筑工程或市政公用工程乙级资质得</w:t>
            </w:r>
            <w:r>
              <w:rPr>
                <w:rFonts w:ascii="Times New Roman" w:eastAsia="仿宋_GB2312" w:hAnsi="Times New Roman" w:cs="Times New Roman"/>
                <w:bCs/>
                <w:sz w:val="24"/>
                <w:szCs w:val="24"/>
              </w:rPr>
              <w:t>8</w:t>
            </w:r>
            <w:r>
              <w:rPr>
                <w:rFonts w:ascii="Times New Roman" w:eastAsia="仿宋_GB2312" w:hAnsi="Times New Roman" w:cs="Times New Roman" w:hint="eastAsia"/>
                <w:bCs/>
                <w:sz w:val="24"/>
                <w:szCs w:val="24"/>
              </w:rPr>
              <w:t>分，</w:t>
            </w:r>
            <w:r>
              <w:rPr>
                <w:rFonts w:ascii="Times New Roman" w:eastAsia="仿宋_GB2312" w:hAnsi="Times New Roman" w:cs="Times New Roman"/>
                <w:bCs/>
                <w:sz w:val="24"/>
                <w:szCs w:val="24"/>
              </w:rPr>
              <w:t>有多项</w:t>
            </w:r>
            <w:r>
              <w:rPr>
                <w:rFonts w:ascii="Times New Roman" w:eastAsia="仿宋_GB2312" w:hAnsi="Times New Roman" w:cs="Times New Roman" w:hint="eastAsia"/>
                <w:bCs/>
                <w:sz w:val="24"/>
                <w:szCs w:val="24"/>
              </w:rPr>
              <w:t>监理</w:t>
            </w:r>
            <w:r>
              <w:rPr>
                <w:rFonts w:ascii="Times New Roman" w:eastAsia="仿宋_GB2312" w:hAnsi="Times New Roman" w:cs="Times New Roman"/>
                <w:bCs/>
                <w:sz w:val="24"/>
                <w:szCs w:val="24"/>
              </w:rPr>
              <w:t>专业乙级资质的，每多一项加</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最高</w:t>
            </w:r>
            <w:r>
              <w:rPr>
                <w:rFonts w:ascii="Times New Roman" w:eastAsia="仿宋_GB2312" w:hAnsi="Times New Roman" w:cs="Times New Roman"/>
                <w:bCs/>
                <w:sz w:val="24"/>
                <w:szCs w:val="24"/>
              </w:rPr>
              <w:t>10</w:t>
            </w:r>
            <w:r>
              <w:rPr>
                <w:rFonts w:ascii="Times New Roman" w:eastAsia="仿宋_GB2312" w:hAnsi="Times New Roman" w:cs="Times New Roman"/>
                <w:bCs/>
                <w:sz w:val="24"/>
                <w:szCs w:val="24"/>
              </w:rPr>
              <w:t>分。</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8</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10</w:t>
            </w:r>
          </w:p>
        </w:tc>
      </w:tr>
      <w:tr w:rsidR="00406DF0">
        <w:trPr>
          <w:trHeight w:val="695"/>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房屋建筑工程或市政公用工程丙级资质得</w:t>
            </w:r>
            <w:r>
              <w:rPr>
                <w:rFonts w:ascii="Times New Roman" w:eastAsia="仿宋_GB2312" w:hAnsi="Times New Roman" w:cs="Times New Roman"/>
                <w:bCs/>
                <w:sz w:val="24"/>
                <w:szCs w:val="24"/>
              </w:rPr>
              <w:t>5</w:t>
            </w:r>
            <w:r>
              <w:rPr>
                <w:rFonts w:ascii="Times New Roman" w:eastAsia="仿宋_GB2312" w:hAnsi="Times New Roman" w:cs="Times New Roman" w:hint="eastAsia"/>
                <w:bCs/>
                <w:sz w:val="24"/>
                <w:szCs w:val="24"/>
              </w:rPr>
              <w:t>分，</w:t>
            </w:r>
            <w:r>
              <w:rPr>
                <w:rFonts w:ascii="Times New Roman" w:eastAsia="仿宋_GB2312" w:hAnsi="Times New Roman" w:cs="Times New Roman"/>
                <w:bCs/>
                <w:sz w:val="24"/>
                <w:szCs w:val="24"/>
              </w:rPr>
              <w:t>有多项</w:t>
            </w:r>
            <w:r>
              <w:rPr>
                <w:rFonts w:ascii="Times New Roman" w:eastAsia="仿宋_GB2312" w:hAnsi="Times New Roman" w:cs="Times New Roman" w:hint="eastAsia"/>
                <w:bCs/>
                <w:sz w:val="24"/>
                <w:szCs w:val="24"/>
              </w:rPr>
              <w:t>监理</w:t>
            </w:r>
            <w:r>
              <w:rPr>
                <w:rFonts w:ascii="Times New Roman" w:eastAsia="仿宋_GB2312" w:hAnsi="Times New Roman" w:cs="Times New Roman"/>
                <w:bCs/>
                <w:sz w:val="24"/>
                <w:szCs w:val="24"/>
              </w:rPr>
              <w:t>专业</w:t>
            </w:r>
            <w:r>
              <w:rPr>
                <w:rFonts w:ascii="Times New Roman" w:eastAsia="仿宋_GB2312" w:hAnsi="Times New Roman" w:cs="Times New Roman" w:hint="eastAsia"/>
                <w:bCs/>
                <w:sz w:val="24"/>
                <w:szCs w:val="24"/>
              </w:rPr>
              <w:t>丙</w:t>
            </w:r>
            <w:r>
              <w:rPr>
                <w:rFonts w:ascii="Times New Roman" w:eastAsia="仿宋_GB2312" w:hAnsi="Times New Roman" w:cs="Times New Roman"/>
                <w:bCs/>
                <w:sz w:val="24"/>
                <w:szCs w:val="24"/>
              </w:rPr>
              <w:t>级资质的，每多一项加</w:t>
            </w:r>
            <w:r>
              <w:rPr>
                <w:rFonts w:ascii="Times New Roman" w:eastAsia="仿宋_GB2312" w:hAnsi="Times New Roman" w:cs="Times New Roman"/>
                <w:bCs/>
                <w:sz w:val="24"/>
                <w:szCs w:val="24"/>
              </w:rPr>
              <w:t>0.5</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最高</w:t>
            </w:r>
            <w:r>
              <w:rPr>
                <w:rFonts w:ascii="Times New Roman" w:eastAsia="仿宋_GB2312" w:hAnsi="Times New Roman" w:cs="Times New Roman"/>
                <w:bCs/>
                <w:sz w:val="24"/>
                <w:szCs w:val="24"/>
              </w:rPr>
              <w:t>8</w:t>
            </w:r>
            <w:r>
              <w:rPr>
                <w:rFonts w:ascii="Times New Roman" w:eastAsia="仿宋_GB2312" w:hAnsi="Times New Roman" w:cs="Times New Roman"/>
                <w:bCs/>
                <w:sz w:val="24"/>
                <w:szCs w:val="24"/>
              </w:rPr>
              <w:t>分。</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8</w:t>
            </w:r>
          </w:p>
        </w:tc>
      </w:tr>
      <w:tr w:rsidR="00406DF0">
        <w:trPr>
          <w:trHeight w:val="533"/>
        </w:trPr>
        <w:tc>
          <w:tcPr>
            <w:tcW w:w="551"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1783"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评价时人才情况</w:t>
            </w: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5</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406DF0">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406DF0">
        <w:trPr>
          <w:trHeight w:val="533"/>
        </w:trPr>
        <w:tc>
          <w:tcPr>
            <w:tcW w:w="551" w:type="dxa"/>
            <w:vMerge/>
            <w:tcBorders>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r>
      <w:tr w:rsidR="00406DF0">
        <w:trPr>
          <w:trHeight w:val="533"/>
        </w:trPr>
        <w:tc>
          <w:tcPr>
            <w:tcW w:w="5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406DF0">
        <w:trPr>
          <w:trHeight w:val="533"/>
        </w:trPr>
        <w:tc>
          <w:tcPr>
            <w:tcW w:w="551"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年度税收</w:t>
            </w:r>
            <w:r>
              <w:rPr>
                <w:rFonts w:ascii="Times New Roman" w:eastAsia="仿宋_GB2312" w:hAnsi="Times New Roman" w:cs="Times New Roman" w:hint="eastAsia"/>
                <w:bCs/>
                <w:sz w:val="24"/>
                <w:szCs w:val="24"/>
                <w:highlight w:val="yellow"/>
              </w:rPr>
              <w:t xml:space="preserve"> </w:t>
            </w:r>
            <w:r>
              <w:rPr>
                <w:rFonts w:ascii="Times New Roman" w:eastAsia="仿宋_GB2312" w:hAnsi="Times New Roman" w:cs="Times New Roman"/>
                <w:bCs/>
                <w:sz w:val="24"/>
                <w:szCs w:val="24"/>
                <w:highlight w:val="yellow"/>
              </w:rPr>
              <w:t>贡献</w:t>
            </w:r>
          </w:p>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highlight w:val="yellow"/>
              </w:rPr>
              <w:t>20</w:t>
            </w: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20</w:t>
            </w:r>
          </w:p>
        </w:tc>
      </w:tr>
      <w:tr w:rsidR="00406DF0">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15</w:t>
            </w:r>
          </w:p>
        </w:tc>
      </w:tr>
      <w:tr w:rsidR="00406DF0">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10</w:t>
            </w:r>
          </w:p>
        </w:tc>
      </w:tr>
      <w:tr w:rsidR="00406DF0">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5</w:t>
            </w:r>
          </w:p>
        </w:tc>
      </w:tr>
      <w:tr w:rsidR="00406DF0">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w:t>
            </w:r>
          </w:p>
        </w:tc>
      </w:tr>
      <w:tr w:rsidR="00406DF0">
        <w:trPr>
          <w:trHeight w:val="312"/>
        </w:trPr>
        <w:tc>
          <w:tcPr>
            <w:tcW w:w="551"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4</w:t>
            </w:r>
          </w:p>
        </w:tc>
        <w:tc>
          <w:tcPr>
            <w:tcW w:w="1783"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信用分值</w:t>
            </w:r>
          </w:p>
        </w:tc>
        <w:tc>
          <w:tcPr>
            <w:tcW w:w="129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406DF0">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406DF0">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406DF0">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406DF0">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406DF0">
        <w:trPr>
          <w:trHeight w:val="166"/>
        </w:trPr>
        <w:tc>
          <w:tcPr>
            <w:tcW w:w="55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年度量化</w:t>
            </w:r>
            <w:r>
              <w:rPr>
                <w:rFonts w:ascii="Times New Roman" w:eastAsia="仿宋_GB2312" w:hAnsi="Times New Roman" w:cs="Times New Roman" w:hint="eastAsia"/>
                <w:bCs/>
                <w:sz w:val="24"/>
                <w:szCs w:val="24"/>
                <w:highlight w:val="yellow"/>
              </w:rPr>
              <w:t xml:space="preserve"> </w:t>
            </w:r>
            <w:r>
              <w:rPr>
                <w:rFonts w:ascii="Times New Roman" w:eastAsia="仿宋_GB2312" w:hAnsi="Times New Roman" w:cs="Times New Roman"/>
                <w:bCs/>
                <w:sz w:val="24"/>
                <w:szCs w:val="24"/>
                <w:highlight w:val="yellow"/>
              </w:rPr>
              <w:t>评价</w:t>
            </w:r>
          </w:p>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highlight w:val="yellow"/>
              </w:rPr>
              <w:t>10</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10</w:t>
            </w:r>
          </w:p>
        </w:tc>
      </w:tr>
      <w:tr w:rsidR="00406DF0">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8</w:t>
            </w:r>
          </w:p>
        </w:tc>
      </w:tr>
      <w:tr w:rsidR="00406DF0">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6</w:t>
            </w:r>
          </w:p>
        </w:tc>
      </w:tr>
      <w:tr w:rsidR="00406DF0">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4</w:t>
            </w:r>
          </w:p>
        </w:tc>
      </w:tr>
      <w:tr w:rsidR="00406DF0">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406DF0" w:rsidRDefault="00406DF0">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2</w:t>
            </w:r>
          </w:p>
        </w:tc>
      </w:tr>
      <w:tr w:rsidR="00406DF0">
        <w:trPr>
          <w:trHeight w:val="312"/>
        </w:trPr>
        <w:tc>
          <w:tcPr>
            <w:tcW w:w="23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06DF0" w:rsidRDefault="00FF46E8">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合计</w:t>
            </w:r>
          </w:p>
        </w:tc>
        <w:tc>
          <w:tcPr>
            <w:tcW w:w="6170"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406DF0" w:rsidRDefault="00FF46E8">
            <w:pPr>
              <w:widowControl/>
              <w:spacing w:line="36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100</w:t>
            </w:r>
            <w:r>
              <w:rPr>
                <w:rFonts w:ascii="Times New Roman" w:eastAsia="仿宋_GB2312" w:hAnsi="Times New Roman" w:cs="Times New Roman"/>
                <w:bCs/>
                <w:sz w:val="24"/>
                <w:szCs w:val="24"/>
              </w:rPr>
              <w:t>分</w:t>
            </w:r>
          </w:p>
        </w:tc>
      </w:tr>
    </w:tbl>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四、直接入选</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符合下列条件之一，直接入选优质</w:t>
      </w:r>
      <w:r>
        <w:rPr>
          <w:rFonts w:ascii="Times New Roman" w:eastAsia="仿宋_GB2312" w:hAnsi="Times New Roman" w:cs="Times New Roman" w:hint="eastAsia"/>
          <w:sz w:val="32"/>
          <w:szCs w:val="32"/>
        </w:rPr>
        <w:t>监理</w:t>
      </w:r>
      <w:r>
        <w:rPr>
          <w:rFonts w:ascii="Times New Roman" w:eastAsia="仿宋_GB2312" w:hAnsi="Times New Roman" w:cs="Times New Roman"/>
          <w:sz w:val="32"/>
          <w:szCs w:val="32"/>
        </w:rPr>
        <w:t>企业名单：</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sz w:val="32"/>
          <w:szCs w:val="32"/>
        </w:rPr>
        <w:t>新迁入（或新注册登记）的工程</w:t>
      </w:r>
      <w:r>
        <w:rPr>
          <w:rFonts w:ascii="Times New Roman" w:eastAsia="仿宋_GB2312" w:hAnsi="Times New Roman" w:cs="Times New Roman" w:hint="eastAsia"/>
          <w:sz w:val="32"/>
          <w:szCs w:val="32"/>
        </w:rPr>
        <w:t>监理</w:t>
      </w:r>
      <w:r>
        <w:rPr>
          <w:rFonts w:ascii="Times New Roman" w:eastAsia="仿宋_GB2312" w:hAnsi="Times New Roman" w:cs="Times New Roman"/>
          <w:sz w:val="32"/>
          <w:szCs w:val="32"/>
        </w:rPr>
        <w:t>综合资质企业；</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承接项目</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获得国家优质工程奖、鲁班奖、中国土木工程詹天佑奖的企业（具备一项即可）；</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获得国家科技进步奖的企业；</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列入住建部全过程工程咨询试点企业名单。</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五、加分条件</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符合下列条件的企业，在综合评价结果基础上予以加分，各项累计加分值不超过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列入广东省全过程工程咨询试点单位名单，加</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highlight w:val="yellow"/>
        </w:rPr>
        <w:t>获得高新技术企业称号</w:t>
      </w:r>
      <w:r>
        <w:rPr>
          <w:rFonts w:ascii="Times New Roman" w:eastAsia="仿宋_GB2312" w:hAnsi="Times New Roman" w:cs="Times New Roman" w:hint="eastAsia"/>
          <w:sz w:val="32"/>
          <w:szCs w:val="32"/>
          <w:highlight w:val="yellow"/>
        </w:rPr>
        <w:t>且在有效期内的</w:t>
      </w:r>
      <w:bookmarkStart w:id="0" w:name="_GoBack"/>
      <w:bookmarkEnd w:id="0"/>
      <w:r>
        <w:rPr>
          <w:rFonts w:ascii="Times New Roman" w:eastAsia="仿宋_GB2312" w:hAnsi="Times New Roman" w:cs="Times New Roman"/>
          <w:sz w:val="32"/>
          <w:szCs w:val="32"/>
          <w:highlight w:val="yellow"/>
        </w:rPr>
        <w:t>，加</w:t>
      </w:r>
      <w:r>
        <w:rPr>
          <w:rFonts w:ascii="Times New Roman" w:eastAsia="仿宋_GB2312" w:hAnsi="Times New Roman" w:cs="Times New Roman" w:hint="eastAsia"/>
          <w:sz w:val="32"/>
          <w:szCs w:val="32"/>
          <w:highlight w:val="yellow"/>
        </w:rPr>
        <w:t>5</w:t>
      </w:r>
      <w:r>
        <w:rPr>
          <w:rFonts w:ascii="Times New Roman" w:eastAsia="仿宋_GB2312" w:hAnsi="Times New Roman" w:cs="Times New Roman"/>
          <w:sz w:val="32"/>
          <w:szCs w:val="32"/>
          <w:highlight w:val="yellow"/>
        </w:rPr>
        <w:t>分；</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承接项目</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获得广东省建设工程金匠奖或广东省土木工程詹天佑故乡杯奖的，每个奖项加</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六、评价结果</w:t>
      </w:r>
    </w:p>
    <w:p w:rsidR="00406DF0" w:rsidRDefault="00FF46E8">
      <w:pPr>
        <w:spacing w:line="52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highlight w:val="yellow"/>
        </w:rPr>
        <w:t>按综合评价和加分项的总得分</w:t>
      </w:r>
      <w:r>
        <w:rPr>
          <w:rFonts w:ascii="Times New Roman" w:eastAsia="仿宋_GB2312" w:hAnsi="Times New Roman" w:cs="Times New Roman" w:hint="eastAsia"/>
          <w:color w:val="000000" w:themeColor="text1"/>
          <w:sz w:val="32"/>
          <w:szCs w:val="32"/>
          <w:highlight w:val="yellow"/>
        </w:rPr>
        <w:t>为</w:t>
      </w:r>
      <w:r>
        <w:rPr>
          <w:rFonts w:ascii="Times New Roman" w:eastAsia="仿宋_GB2312" w:hAnsi="Times New Roman" w:cs="Times New Roman" w:hint="eastAsia"/>
          <w:color w:val="000000" w:themeColor="text1"/>
          <w:sz w:val="32"/>
          <w:szCs w:val="32"/>
          <w:highlight w:val="yellow"/>
        </w:rPr>
        <w:t>70</w:t>
      </w:r>
      <w:r>
        <w:rPr>
          <w:rFonts w:ascii="Times New Roman" w:eastAsia="仿宋_GB2312" w:hAnsi="Times New Roman" w:cs="Times New Roman" w:hint="eastAsia"/>
          <w:color w:val="000000" w:themeColor="text1"/>
          <w:sz w:val="32"/>
          <w:szCs w:val="32"/>
          <w:highlight w:val="yellow"/>
        </w:rPr>
        <w:t>分以上</w:t>
      </w:r>
      <w:r>
        <w:rPr>
          <w:rFonts w:ascii="Times New Roman" w:eastAsia="仿宋_GB2312" w:hAnsi="Times New Roman" w:cs="Times New Roman"/>
          <w:color w:val="000000" w:themeColor="text1"/>
          <w:sz w:val="32"/>
          <w:szCs w:val="32"/>
          <w:highlight w:val="yellow"/>
        </w:rPr>
        <w:t>排序</w:t>
      </w:r>
      <w:r>
        <w:rPr>
          <w:rFonts w:ascii="Times New Roman" w:eastAsia="仿宋_GB2312" w:hAnsi="Times New Roman" w:cs="Times New Roman" w:hint="eastAsia"/>
          <w:color w:val="000000" w:themeColor="text1"/>
          <w:sz w:val="32"/>
          <w:szCs w:val="32"/>
          <w:highlight w:val="yellow"/>
        </w:rPr>
        <w:t>，包含</w:t>
      </w:r>
      <w:r>
        <w:rPr>
          <w:rFonts w:ascii="Times New Roman" w:eastAsia="仿宋_GB2312" w:hAnsi="Times New Roman" w:cs="Times New Roman"/>
          <w:color w:val="000000" w:themeColor="text1"/>
          <w:sz w:val="32"/>
          <w:szCs w:val="32"/>
          <w:highlight w:val="yellow"/>
        </w:rPr>
        <w:t>直接入选企业</w:t>
      </w:r>
      <w:r>
        <w:rPr>
          <w:rFonts w:ascii="Times New Roman" w:eastAsia="仿宋_GB2312" w:hAnsi="Times New Roman" w:cs="Times New Roman" w:hint="eastAsia"/>
          <w:color w:val="000000" w:themeColor="text1"/>
          <w:sz w:val="32"/>
          <w:szCs w:val="32"/>
          <w:highlight w:val="yellow"/>
        </w:rPr>
        <w:t>共</w:t>
      </w:r>
      <w:r>
        <w:rPr>
          <w:rFonts w:ascii="Times New Roman" w:eastAsia="仿宋_GB2312" w:hAnsi="Times New Roman" w:cs="Times New Roman"/>
          <w:color w:val="000000" w:themeColor="text1"/>
          <w:sz w:val="32"/>
          <w:szCs w:val="32"/>
          <w:highlight w:val="yellow"/>
        </w:rPr>
        <w:t>选取</w:t>
      </w:r>
      <w:r>
        <w:rPr>
          <w:rFonts w:ascii="Times New Roman" w:eastAsia="仿宋_GB2312" w:hAnsi="Times New Roman" w:cs="Times New Roman" w:hint="eastAsia"/>
          <w:color w:val="000000" w:themeColor="text1"/>
          <w:sz w:val="32"/>
          <w:szCs w:val="32"/>
          <w:highlight w:val="yellow"/>
        </w:rPr>
        <w:t>10</w:t>
      </w:r>
      <w:r>
        <w:rPr>
          <w:rFonts w:ascii="Times New Roman" w:eastAsia="仿宋_GB2312" w:hAnsi="Times New Roman" w:cs="Times New Roman"/>
          <w:color w:val="000000" w:themeColor="text1"/>
          <w:sz w:val="32"/>
          <w:szCs w:val="32"/>
          <w:highlight w:val="yellow"/>
        </w:rPr>
        <w:t>家（</w:t>
      </w:r>
      <w:r>
        <w:rPr>
          <w:rFonts w:ascii="Times New Roman" w:eastAsia="仿宋_GB2312" w:hAnsi="Times New Roman" w:cs="Times New Roman" w:hint="eastAsia"/>
          <w:color w:val="000000" w:themeColor="text1"/>
          <w:sz w:val="32"/>
          <w:szCs w:val="32"/>
          <w:highlight w:val="yellow"/>
        </w:rPr>
        <w:t>不足</w:t>
      </w:r>
      <w:r>
        <w:rPr>
          <w:rFonts w:ascii="Times New Roman" w:eastAsia="仿宋_GB2312" w:hAnsi="Times New Roman" w:cs="Times New Roman" w:hint="eastAsia"/>
          <w:color w:val="000000" w:themeColor="text1"/>
          <w:sz w:val="32"/>
          <w:szCs w:val="32"/>
          <w:highlight w:val="yellow"/>
        </w:rPr>
        <w:t>10</w:t>
      </w:r>
      <w:r>
        <w:rPr>
          <w:rFonts w:ascii="Times New Roman" w:eastAsia="仿宋_GB2312" w:hAnsi="Times New Roman" w:cs="Times New Roman" w:hint="eastAsia"/>
          <w:color w:val="000000" w:themeColor="text1"/>
          <w:sz w:val="32"/>
          <w:szCs w:val="32"/>
          <w:highlight w:val="yellow"/>
        </w:rPr>
        <w:t>家的按实际情况选取</w:t>
      </w:r>
      <w:r>
        <w:rPr>
          <w:rFonts w:ascii="Times New Roman" w:eastAsia="仿宋_GB2312" w:hAnsi="Times New Roman" w:cs="Times New Roman"/>
          <w:color w:val="000000" w:themeColor="text1"/>
          <w:sz w:val="32"/>
          <w:szCs w:val="32"/>
          <w:highlight w:val="yellow"/>
        </w:rPr>
        <w:t>），</w:t>
      </w:r>
      <w:r>
        <w:rPr>
          <w:rFonts w:ascii="Times New Roman" w:eastAsia="仿宋_GB2312" w:hAnsi="Times New Roman" w:cs="Times New Roman"/>
          <w:color w:val="000000" w:themeColor="text1"/>
          <w:sz w:val="32"/>
          <w:szCs w:val="32"/>
        </w:rPr>
        <w:t>由市住房城乡建设局发文予以公布。</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七、结果应用</w:t>
      </w:r>
    </w:p>
    <w:p w:rsidR="00406DF0" w:rsidRDefault="00FF46E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（一）提高优质企业美誉度和社会、行业知名度；</w:t>
      </w:r>
    </w:p>
    <w:p w:rsidR="00406DF0" w:rsidRDefault="00FF46E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）利用东莞建设网、南方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东莞住建频道开展宣传推介；</w:t>
      </w:r>
    </w:p>
    <w:p w:rsidR="00406DF0" w:rsidRDefault="00FF46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）对优质企业实行精准服务支持。</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八、退出机制</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一票否决条款：</w:t>
      </w:r>
      <w:r>
        <w:rPr>
          <w:rFonts w:ascii="Times New Roman" w:eastAsia="仿宋_GB2312" w:hAnsi="Times New Roman" w:cs="Times New Roman"/>
          <w:sz w:val="32"/>
          <w:szCs w:val="32"/>
        </w:rPr>
        <w:t>造成</w:t>
      </w:r>
      <w:r>
        <w:rPr>
          <w:rFonts w:ascii="Times New Roman" w:eastAsia="仿宋_GB2312" w:hAnsi="Times New Roman" w:cs="Times New Roman" w:hint="eastAsia"/>
          <w:sz w:val="32"/>
          <w:szCs w:val="32"/>
        </w:rPr>
        <w:t>严重</w:t>
      </w:r>
      <w:r>
        <w:rPr>
          <w:rFonts w:ascii="Times New Roman" w:eastAsia="仿宋_GB2312" w:hAnsi="Times New Roman" w:cs="Times New Roman"/>
          <w:sz w:val="32"/>
          <w:szCs w:val="32"/>
        </w:rPr>
        <w:t>工程质量</w:t>
      </w:r>
      <w:r>
        <w:rPr>
          <w:rFonts w:ascii="Times New Roman" w:eastAsia="仿宋_GB2312" w:hAnsi="Times New Roman" w:cs="Times New Roman" w:hint="eastAsia"/>
          <w:sz w:val="32"/>
          <w:szCs w:val="32"/>
        </w:rPr>
        <w:t>安全</w:t>
      </w:r>
      <w:r>
        <w:rPr>
          <w:rFonts w:ascii="Times New Roman" w:eastAsia="仿宋_GB2312" w:hAnsi="Times New Roman" w:cs="Times New Roman"/>
          <w:sz w:val="32"/>
          <w:szCs w:val="32"/>
        </w:rPr>
        <w:t>事故，</w:t>
      </w:r>
      <w:r>
        <w:rPr>
          <w:rFonts w:ascii="Times New Roman" w:eastAsia="仿宋_GB2312" w:hAnsi="Times New Roman" w:cs="Times New Roman" w:hint="eastAsia"/>
          <w:sz w:val="32"/>
          <w:szCs w:val="32"/>
        </w:rPr>
        <w:t>发生严重违法、失信，信用分值清零等行为。</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经查实，评选期间的参选监理企业或入选名单的优质监理企业发生一票否决行为的，则取消其评选资格或从入选名单中移除。</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lastRenderedPageBreak/>
        <w:t>九、评价指标数据来源</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企业资质数据从住建部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w:t>
      </w:r>
      <w:r>
        <w:rPr>
          <w:rFonts w:ascii="Times New Roman" w:eastAsia="仿宋_GB2312" w:hAnsi="Times New Roman" w:cs="Times New Roman" w:hint="eastAsia"/>
          <w:sz w:val="32"/>
          <w:szCs w:val="32"/>
        </w:rPr>
        <w:t>建筑</w:t>
      </w:r>
      <w:r>
        <w:rPr>
          <w:rFonts w:ascii="Times New Roman" w:eastAsia="仿宋_GB2312" w:hAnsi="Times New Roman" w:cs="Times New Roman"/>
          <w:sz w:val="32"/>
          <w:szCs w:val="32"/>
        </w:rPr>
        <w:t>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和省住房城乡建设厅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粤建网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三库一平台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税收贡献数据由市住房城乡建设局向市税务局获取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企业信用分值排名从市住房城乡建设局建设工程企业信用管理系统获取</w:t>
      </w:r>
      <w:r>
        <w:rPr>
          <w:rFonts w:ascii="Times New Roman" w:eastAsia="仿宋_GB2312" w:hAnsi="Times New Roman" w:cs="Times New Roman" w:hint="eastAsia"/>
          <w:sz w:val="32"/>
          <w:szCs w:val="32"/>
        </w:rPr>
        <w:t>；</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量化评价排名从上年度全市住房城乡建设工作量化评价结果获取</w:t>
      </w:r>
      <w:r>
        <w:rPr>
          <w:rFonts w:ascii="Times New Roman" w:eastAsia="仿宋_GB2312" w:hAnsi="Times New Roman" w:cs="Times New Roman" w:hint="eastAsia"/>
          <w:sz w:val="32"/>
          <w:szCs w:val="32"/>
        </w:rPr>
        <w:t>；</w:t>
      </w:r>
    </w:p>
    <w:p w:rsidR="00406DF0" w:rsidRDefault="00FF46E8">
      <w:pPr>
        <w:spacing w:line="520"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hint="eastAsia"/>
          <w:sz w:val="32"/>
          <w:szCs w:val="32"/>
        </w:rPr>
        <w:t>情况中社保和职称</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企业申报提供相关佐证材料</w:t>
      </w:r>
      <w:r>
        <w:rPr>
          <w:rFonts w:ascii="Times New Roman" w:eastAsia="仿宋_GB2312" w:hAnsi="Times New Roman" w:cs="Times New Roman" w:hint="eastAsia"/>
          <w:sz w:val="32"/>
          <w:szCs w:val="32"/>
        </w:rPr>
        <w:t>及查询途径；</w:t>
      </w:r>
      <w:r>
        <w:rPr>
          <w:rFonts w:ascii="Times New Roman" w:eastAsia="仿宋_GB2312" w:hAnsi="Times New Roman" w:cs="Times New Roman"/>
          <w:sz w:val="32"/>
          <w:szCs w:val="32"/>
        </w:rPr>
        <w:t>注册人员情况从</w:t>
      </w:r>
      <w:r>
        <w:rPr>
          <w:rFonts w:ascii="Times New Roman" w:eastAsia="仿宋_GB2312" w:hAnsi="Times New Roman" w:cs="Times New Roman" w:hint="eastAsia"/>
          <w:sz w:val="32"/>
          <w:szCs w:val="32"/>
        </w:rPr>
        <w:t>住建部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全国建筑市场监管公共服务平台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406DF0" w:rsidRDefault="00FF46E8">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六</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加分条件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中相关奖项、表彰等情况，采取</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提供和市住房城乡建设局核实相结合的方式确定。</w:t>
      </w:r>
    </w:p>
    <w:p w:rsidR="00406DF0" w:rsidRDefault="00FF46E8">
      <w:pPr>
        <w:spacing w:line="520" w:lineRule="exact"/>
        <w:ind w:firstLine="640"/>
        <w:rPr>
          <w:rFonts w:ascii="黑体" w:eastAsia="黑体" w:hAnsi="黑体" w:cs="黑体"/>
          <w:sz w:val="32"/>
          <w:szCs w:val="32"/>
        </w:rPr>
      </w:pPr>
      <w:r>
        <w:rPr>
          <w:rFonts w:ascii="黑体" w:eastAsia="黑体" w:hAnsi="黑体" w:cs="黑体" w:hint="eastAsia"/>
          <w:sz w:val="32"/>
          <w:szCs w:val="32"/>
        </w:rPr>
        <w:t>十、评价周期</w:t>
      </w:r>
    </w:p>
    <w:p w:rsidR="00406DF0" w:rsidRDefault="00FF46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highlight w:val="yellow"/>
        </w:rPr>
        <w:t>每</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年评价一次，原则上在上</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年度的税收数据和量化评价结果产生后开展。评价结果除异常退出企业外，至下一</w:t>
      </w:r>
      <w:r>
        <w:rPr>
          <w:rFonts w:ascii="Times New Roman" w:eastAsia="仿宋_GB2312" w:hAnsi="Times New Roman" w:cs="Times New Roman" w:hint="eastAsia"/>
          <w:bCs/>
          <w:sz w:val="32"/>
          <w:szCs w:val="32"/>
          <w:highlight w:val="yellow"/>
        </w:rPr>
        <w:t>评选年度</w:t>
      </w:r>
      <w:r>
        <w:rPr>
          <w:rFonts w:ascii="Times New Roman" w:eastAsia="仿宋_GB2312" w:hAnsi="Times New Roman" w:cs="Times New Roman"/>
          <w:bCs/>
          <w:sz w:val="32"/>
          <w:szCs w:val="32"/>
          <w:highlight w:val="yellow"/>
        </w:rPr>
        <w:t>评价结果产生前有效。</w:t>
      </w:r>
      <w:r>
        <w:rPr>
          <w:rFonts w:ascii="Times New Roman" w:eastAsia="仿宋_GB2312" w:hAnsi="Times New Roman" w:cs="Times New Roman"/>
          <w:sz w:val="32"/>
          <w:szCs w:val="32"/>
        </w:rPr>
        <w:t xml:space="preserve">   </w:t>
      </w:r>
    </w:p>
    <w:sectPr w:rsidR="00406DF0" w:rsidSect="00406D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E8" w:rsidRDefault="00FF46E8" w:rsidP="00406DF0">
      <w:r>
        <w:separator/>
      </w:r>
    </w:p>
  </w:endnote>
  <w:endnote w:type="continuationSeparator" w:id="0">
    <w:p w:rsidR="00FF46E8" w:rsidRDefault="00FF46E8" w:rsidP="00406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仿宋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DF0" w:rsidRDefault="00406DF0">
    <w:pPr>
      <w:pStyle w:val="a4"/>
    </w:pPr>
    <w:r>
      <w:pict>
        <v:shapetype id="_x0000_t202" coordsize="21600,21600" o:spt="202" path="m,l,21600r21600,l21600,xe">
          <v:stroke joinstyle="miter"/>
          <v:path gradientshapeok="t" o:connecttype="rect"/>
        </v:shapetype>
        <v:shape id="Text Box 2" o:spid="_x0000_s1026" type="#_x0000_t202" style="position:absolute;margin-left:0;margin-top:0;width:4.75pt;height:12.2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j0gEAAI0DAAAOAAAAZHJzL2Uyb0RvYy54bWysU8tu2zAQvBfoPxC815LdJGgFy0GawEWB&#10;9AGk/QCKoiSiEpfYpS25X98lZTl93IpeiNWSHM7Mjra309CLo0Gy4Eq5XuVSGKehtq4t5bev+1dv&#10;pKCgXK16cKaUJ0PydvfyxXb0hdlAB31tUDCIo2L0pexC8EWWke7MoGgF3jjebAAHFfgT26xGNTL6&#10;0GebPL/JRsDaI2hDxN2HeVPuEn7TGB0+Nw2ZIPpSMreQVkxrFddst1VFi8p3Vp9pqH9gMSjr+NEL&#10;1IMKShzQ/gU1WI1A0ISVhiGDprHaJA2sZp3/oeapU94kLWwO+YtN9P9g9afjk/+CIkzvYOIBJhHk&#10;H0F/J+HgvlOuNXeIMHZG1fzwOlqWjZ6K89VoNRUUQarxI9Q8ZHUIkICmBofoCusUjM4DOF1MN1MQ&#10;mps3+evNtRSad9bXV2+v0kwyVSx3PVJ4b2AQsSgl8kgTtjo+UohcVLEciU852Nu+T2Pt3W8NPhg7&#10;iXukOxMPUzXx6aihgvrEKhDmlHCquegAf0gxckJK6TjCUvQfHPsQw7QUuBTVUiin+WIpgxRzeR/m&#10;0B082rZj3MXpO/Zqb5OQZw5nljzzpO+czxiqX7/Tqee/aPcTAAD//wMAUEsDBBQABgAIAAAAIQBj&#10;4NrD2AAAAAIBAAAPAAAAZHJzL2Rvd25yZXYueG1sTI/BTsMwEETvSPyDtUjcqEMJiIZsKqgIR6Q2&#10;HHp04yUJ2OvIdtPw9xgucFlpNKOZt+V6tkZM5MPgGOF6kYEgbp0euEN4a+qrexAhKtbKOCaELwqw&#10;rs7PSlVod+ItTbvYiVTCoVAIfYxjIWVoe7IqLNxInLx3562KSfpOaq9OqdwaucyyO2nVwGmhVyNt&#10;emo/d0eLsKmbxk8UvNnTS33z8fqU0/OMeHkxPz6AiDTHvzD84Cd0qBLTwR1ZB2EQ0iPx9yZvdQvi&#10;gLDMc5BVKf+jV98AAAD//wMAUEsBAi0AFAAGAAgAAAAhALaDOJL+AAAA4QEAABMAAAAAAAAAAAAA&#10;AAAAAAAAAFtDb250ZW50X1R5cGVzXS54bWxQSwECLQAUAAYACAAAACEAOP0h/9YAAACUAQAACwAA&#10;AAAAAAAAAAAAAAAvAQAAX3JlbHMvLnJlbHNQSwECLQAUAAYACAAAACEAc0dho9IBAACNAwAADgAA&#10;AAAAAAAAAAAAAAAuAgAAZHJzL2Uyb0RvYy54bWxQSwECLQAUAAYACAAAACEAY+Daw9gAAAACAQAA&#10;DwAAAAAAAAAAAAAAAAAsBAAAZHJzL2Rvd25yZXYueG1sUEsFBgAAAAAEAAQA8wAAADEFAAAAAA==&#10;" filled="f" stroked="f" strokeweight=".5pt">
          <v:textbox style="mso-fit-shape-to-text:t" inset="0,0,0,0">
            <w:txbxContent>
              <w:p w:rsidR="00406DF0" w:rsidRDefault="00406DF0">
                <w:pPr>
                  <w:pStyle w:val="a4"/>
                </w:pPr>
                <w:r>
                  <w:fldChar w:fldCharType="begin"/>
                </w:r>
                <w:r w:rsidR="00FF46E8">
                  <w:instrText xml:space="preserve"> PAGE  \* MERGEFORMAT </w:instrText>
                </w:r>
                <w:r>
                  <w:fldChar w:fldCharType="separate"/>
                </w:r>
                <w:r w:rsidR="00CC0706">
                  <w:rPr>
                    <w:noProof/>
                  </w:rPr>
                  <w:t>2</w:t>
                </w:r>
                <w:r>
                  <w:fldChar w:fldCharType="end"/>
                </w:r>
              </w:p>
            </w:txbxContent>
          </v:textbox>
          <w10:wrap anchorx="margin"/>
        </v:shape>
      </w:pict>
    </w:r>
    <w:r w:rsidR="00FF46E8">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E8" w:rsidRDefault="00FF46E8" w:rsidP="00406DF0">
      <w:r>
        <w:separator/>
      </w:r>
    </w:p>
  </w:footnote>
  <w:footnote w:type="continuationSeparator" w:id="0">
    <w:p w:rsidR="00FF46E8" w:rsidRDefault="00FF46E8" w:rsidP="00406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CF"/>
    <w:rsid w:val="96EF0424"/>
    <w:rsid w:val="9D4B5CFF"/>
    <w:rsid w:val="ABF514C7"/>
    <w:rsid w:val="AEF9F4E2"/>
    <w:rsid w:val="B3EBC1A4"/>
    <w:rsid w:val="B74BFEEE"/>
    <w:rsid w:val="B8DF3D20"/>
    <w:rsid w:val="B8EFF78A"/>
    <w:rsid w:val="BA7B23C6"/>
    <w:rsid w:val="CBABC21E"/>
    <w:rsid w:val="DBAB69FF"/>
    <w:rsid w:val="DEED6E3A"/>
    <w:rsid w:val="DFDBA5F7"/>
    <w:rsid w:val="DFFB13D0"/>
    <w:rsid w:val="E77FB794"/>
    <w:rsid w:val="E7EFF034"/>
    <w:rsid w:val="ECEFE2ED"/>
    <w:rsid w:val="EF7F3D7F"/>
    <w:rsid w:val="EFBFD179"/>
    <w:rsid w:val="F7AB0D26"/>
    <w:rsid w:val="F7FDCF63"/>
    <w:rsid w:val="F7FEB32B"/>
    <w:rsid w:val="F7FF56A0"/>
    <w:rsid w:val="F92FC743"/>
    <w:rsid w:val="F99BCD03"/>
    <w:rsid w:val="FB3FDB5C"/>
    <w:rsid w:val="FB752F5F"/>
    <w:rsid w:val="FBAF0C0F"/>
    <w:rsid w:val="FBF676DA"/>
    <w:rsid w:val="FBF88387"/>
    <w:rsid w:val="FDFFF5EF"/>
    <w:rsid w:val="FE734873"/>
    <w:rsid w:val="FF5FF048"/>
    <w:rsid w:val="FF9FE2A1"/>
    <w:rsid w:val="FFBC5566"/>
    <w:rsid w:val="FFBE4ABE"/>
    <w:rsid w:val="FFFF0663"/>
    <w:rsid w:val="00004103"/>
    <w:rsid w:val="00007AC2"/>
    <w:rsid w:val="00014F14"/>
    <w:rsid w:val="00022D36"/>
    <w:rsid w:val="00065481"/>
    <w:rsid w:val="00080620"/>
    <w:rsid w:val="00096F64"/>
    <w:rsid w:val="000B6CFC"/>
    <w:rsid w:val="000B7A3C"/>
    <w:rsid w:val="000C3BFD"/>
    <w:rsid w:val="000C4047"/>
    <w:rsid w:val="000C7EB4"/>
    <w:rsid w:val="000D3442"/>
    <w:rsid w:val="000D600C"/>
    <w:rsid w:val="000E54F3"/>
    <w:rsid w:val="000E673C"/>
    <w:rsid w:val="00154470"/>
    <w:rsid w:val="00156BDB"/>
    <w:rsid w:val="00156E1F"/>
    <w:rsid w:val="0016089D"/>
    <w:rsid w:val="00161D27"/>
    <w:rsid w:val="001722F3"/>
    <w:rsid w:val="00195D14"/>
    <w:rsid w:val="001A01E6"/>
    <w:rsid w:val="001A4AC9"/>
    <w:rsid w:val="001B6BD3"/>
    <w:rsid w:val="001C600E"/>
    <w:rsid w:val="001D6CC9"/>
    <w:rsid w:val="001F3746"/>
    <w:rsid w:val="001F6F1B"/>
    <w:rsid w:val="002012AE"/>
    <w:rsid w:val="0022422D"/>
    <w:rsid w:val="002314BA"/>
    <w:rsid w:val="0025405A"/>
    <w:rsid w:val="00260732"/>
    <w:rsid w:val="00276633"/>
    <w:rsid w:val="002829D2"/>
    <w:rsid w:val="00296F0C"/>
    <w:rsid w:val="002A01F0"/>
    <w:rsid w:val="002A4B15"/>
    <w:rsid w:val="002A7C2B"/>
    <w:rsid w:val="002C6AC2"/>
    <w:rsid w:val="002C7918"/>
    <w:rsid w:val="002D1DA4"/>
    <w:rsid w:val="002E78B2"/>
    <w:rsid w:val="002F7756"/>
    <w:rsid w:val="00320D5F"/>
    <w:rsid w:val="003555DC"/>
    <w:rsid w:val="00357F60"/>
    <w:rsid w:val="003655EA"/>
    <w:rsid w:val="00395A0A"/>
    <w:rsid w:val="003A2D18"/>
    <w:rsid w:val="003D0597"/>
    <w:rsid w:val="003D7939"/>
    <w:rsid w:val="003F2A0F"/>
    <w:rsid w:val="00406DF0"/>
    <w:rsid w:val="00423EB8"/>
    <w:rsid w:val="00443718"/>
    <w:rsid w:val="00453D7C"/>
    <w:rsid w:val="004B1C17"/>
    <w:rsid w:val="004D2EF7"/>
    <w:rsid w:val="004F4AB4"/>
    <w:rsid w:val="00502968"/>
    <w:rsid w:val="005040DF"/>
    <w:rsid w:val="00571121"/>
    <w:rsid w:val="00593439"/>
    <w:rsid w:val="005B635A"/>
    <w:rsid w:val="005C6975"/>
    <w:rsid w:val="005C6F12"/>
    <w:rsid w:val="00625D26"/>
    <w:rsid w:val="00634195"/>
    <w:rsid w:val="00652004"/>
    <w:rsid w:val="006616E5"/>
    <w:rsid w:val="006625B3"/>
    <w:rsid w:val="00662FB4"/>
    <w:rsid w:val="0069213C"/>
    <w:rsid w:val="006B6DD2"/>
    <w:rsid w:val="006C2FD5"/>
    <w:rsid w:val="006C6269"/>
    <w:rsid w:val="006E3431"/>
    <w:rsid w:val="006E54EC"/>
    <w:rsid w:val="006E58AB"/>
    <w:rsid w:val="0070779A"/>
    <w:rsid w:val="007511A4"/>
    <w:rsid w:val="0076034E"/>
    <w:rsid w:val="00761B19"/>
    <w:rsid w:val="00792C3B"/>
    <w:rsid w:val="007C240C"/>
    <w:rsid w:val="007C59F6"/>
    <w:rsid w:val="007D0771"/>
    <w:rsid w:val="007D0C08"/>
    <w:rsid w:val="007D6AB1"/>
    <w:rsid w:val="007F6D4C"/>
    <w:rsid w:val="0080022E"/>
    <w:rsid w:val="00806058"/>
    <w:rsid w:val="00822055"/>
    <w:rsid w:val="00827CA0"/>
    <w:rsid w:val="008350D8"/>
    <w:rsid w:val="008367C5"/>
    <w:rsid w:val="00850059"/>
    <w:rsid w:val="00850675"/>
    <w:rsid w:val="00867EA5"/>
    <w:rsid w:val="00876309"/>
    <w:rsid w:val="00877A7D"/>
    <w:rsid w:val="00884508"/>
    <w:rsid w:val="008A1AE0"/>
    <w:rsid w:val="008A5614"/>
    <w:rsid w:val="008B100E"/>
    <w:rsid w:val="008D5B5F"/>
    <w:rsid w:val="008E6B19"/>
    <w:rsid w:val="00901E60"/>
    <w:rsid w:val="0090318E"/>
    <w:rsid w:val="009130C8"/>
    <w:rsid w:val="00920B0B"/>
    <w:rsid w:val="00930720"/>
    <w:rsid w:val="009350A6"/>
    <w:rsid w:val="00940840"/>
    <w:rsid w:val="00940BFD"/>
    <w:rsid w:val="009466A6"/>
    <w:rsid w:val="0096066C"/>
    <w:rsid w:val="009727FD"/>
    <w:rsid w:val="009971E6"/>
    <w:rsid w:val="009B1663"/>
    <w:rsid w:val="009B7BEE"/>
    <w:rsid w:val="009C387D"/>
    <w:rsid w:val="009D3304"/>
    <w:rsid w:val="009D5C15"/>
    <w:rsid w:val="009F0E5F"/>
    <w:rsid w:val="00A37B10"/>
    <w:rsid w:val="00A451E7"/>
    <w:rsid w:val="00A4683C"/>
    <w:rsid w:val="00A60D2F"/>
    <w:rsid w:val="00A83DAC"/>
    <w:rsid w:val="00AA074A"/>
    <w:rsid w:val="00AC1784"/>
    <w:rsid w:val="00B07C72"/>
    <w:rsid w:val="00B140AE"/>
    <w:rsid w:val="00B20D74"/>
    <w:rsid w:val="00B22DDC"/>
    <w:rsid w:val="00B27023"/>
    <w:rsid w:val="00B56A49"/>
    <w:rsid w:val="00B63FDB"/>
    <w:rsid w:val="00B701EB"/>
    <w:rsid w:val="00B917CF"/>
    <w:rsid w:val="00BA2E86"/>
    <w:rsid w:val="00BB107C"/>
    <w:rsid w:val="00BB4C8B"/>
    <w:rsid w:val="00BE50DD"/>
    <w:rsid w:val="00BE65CB"/>
    <w:rsid w:val="00BF05B2"/>
    <w:rsid w:val="00C026DA"/>
    <w:rsid w:val="00C178F8"/>
    <w:rsid w:val="00C4121F"/>
    <w:rsid w:val="00C520E9"/>
    <w:rsid w:val="00C81FF0"/>
    <w:rsid w:val="00C939C1"/>
    <w:rsid w:val="00C94EA8"/>
    <w:rsid w:val="00CC0706"/>
    <w:rsid w:val="00CC0E81"/>
    <w:rsid w:val="00CE3203"/>
    <w:rsid w:val="00CF2C60"/>
    <w:rsid w:val="00D0698D"/>
    <w:rsid w:val="00D10E0E"/>
    <w:rsid w:val="00D164DD"/>
    <w:rsid w:val="00D46DC6"/>
    <w:rsid w:val="00D54B1C"/>
    <w:rsid w:val="00D60F92"/>
    <w:rsid w:val="00D611E9"/>
    <w:rsid w:val="00D64C7A"/>
    <w:rsid w:val="00D64EE8"/>
    <w:rsid w:val="00D65AE5"/>
    <w:rsid w:val="00D70868"/>
    <w:rsid w:val="00D821B0"/>
    <w:rsid w:val="00D82782"/>
    <w:rsid w:val="00D86BF9"/>
    <w:rsid w:val="00D969B6"/>
    <w:rsid w:val="00DA1109"/>
    <w:rsid w:val="00DA6737"/>
    <w:rsid w:val="00DB3DCD"/>
    <w:rsid w:val="00DD28B5"/>
    <w:rsid w:val="00DD32CE"/>
    <w:rsid w:val="00DE17D2"/>
    <w:rsid w:val="00DE3CDF"/>
    <w:rsid w:val="00DE50BF"/>
    <w:rsid w:val="00DE68B4"/>
    <w:rsid w:val="00DF2742"/>
    <w:rsid w:val="00E068E7"/>
    <w:rsid w:val="00E1659B"/>
    <w:rsid w:val="00E27155"/>
    <w:rsid w:val="00E524ED"/>
    <w:rsid w:val="00E56E25"/>
    <w:rsid w:val="00E74C47"/>
    <w:rsid w:val="00E77047"/>
    <w:rsid w:val="00E8406A"/>
    <w:rsid w:val="00E9302D"/>
    <w:rsid w:val="00EA08A4"/>
    <w:rsid w:val="00EB0DBC"/>
    <w:rsid w:val="00EC3780"/>
    <w:rsid w:val="00EC6F52"/>
    <w:rsid w:val="00ED12BA"/>
    <w:rsid w:val="00ED6CD4"/>
    <w:rsid w:val="00EE3AA2"/>
    <w:rsid w:val="00EF4508"/>
    <w:rsid w:val="00EF78F9"/>
    <w:rsid w:val="00F249E1"/>
    <w:rsid w:val="00F25E1A"/>
    <w:rsid w:val="00F302A2"/>
    <w:rsid w:val="00F41C68"/>
    <w:rsid w:val="00F50422"/>
    <w:rsid w:val="00F534CC"/>
    <w:rsid w:val="00F5418F"/>
    <w:rsid w:val="00F62CC4"/>
    <w:rsid w:val="00F6721D"/>
    <w:rsid w:val="00F71489"/>
    <w:rsid w:val="00F76F24"/>
    <w:rsid w:val="00F77633"/>
    <w:rsid w:val="00F7770A"/>
    <w:rsid w:val="00F90EA9"/>
    <w:rsid w:val="00FB0B55"/>
    <w:rsid w:val="00FB20D7"/>
    <w:rsid w:val="00FB367D"/>
    <w:rsid w:val="00FB36C3"/>
    <w:rsid w:val="00FF46E8"/>
    <w:rsid w:val="0D4D55BD"/>
    <w:rsid w:val="0FF376CF"/>
    <w:rsid w:val="177326D9"/>
    <w:rsid w:val="2BF377CB"/>
    <w:rsid w:val="2FB76834"/>
    <w:rsid w:val="33D682CF"/>
    <w:rsid w:val="379F4772"/>
    <w:rsid w:val="37E330D2"/>
    <w:rsid w:val="3A7F8BCD"/>
    <w:rsid w:val="3DBE0C0B"/>
    <w:rsid w:val="3F7A6B81"/>
    <w:rsid w:val="3F7FAFB6"/>
    <w:rsid w:val="3FFFF61B"/>
    <w:rsid w:val="4C9FBC61"/>
    <w:rsid w:val="55DE9DD1"/>
    <w:rsid w:val="5634BBB4"/>
    <w:rsid w:val="5C4F77AA"/>
    <w:rsid w:val="5EFFF7C9"/>
    <w:rsid w:val="6E7E6335"/>
    <w:rsid w:val="6FEF60AC"/>
    <w:rsid w:val="7366E8D3"/>
    <w:rsid w:val="73AF34F0"/>
    <w:rsid w:val="76F382B3"/>
    <w:rsid w:val="77DF8008"/>
    <w:rsid w:val="7935693B"/>
    <w:rsid w:val="79EE5D8D"/>
    <w:rsid w:val="7BB9B0B4"/>
    <w:rsid w:val="7BFF2DD8"/>
    <w:rsid w:val="7CCF0BE2"/>
    <w:rsid w:val="7CDCA2FF"/>
    <w:rsid w:val="7D4EE9F6"/>
    <w:rsid w:val="7D5D57E2"/>
    <w:rsid w:val="7D5D9CD1"/>
    <w:rsid w:val="7DBF95E4"/>
    <w:rsid w:val="7E6C20B5"/>
    <w:rsid w:val="7E778110"/>
    <w:rsid w:val="7EEF7FD6"/>
    <w:rsid w:val="7F4F9FA4"/>
    <w:rsid w:val="7F77384C"/>
    <w:rsid w:val="7FCFA437"/>
    <w:rsid w:val="7FD7B00A"/>
    <w:rsid w:val="7FEBD9CE"/>
    <w:rsid w:val="7FFD6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F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06DF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06DF0"/>
    <w:rPr>
      <w:sz w:val="18"/>
      <w:szCs w:val="18"/>
    </w:rPr>
  </w:style>
  <w:style w:type="paragraph" w:styleId="a4">
    <w:name w:val="footer"/>
    <w:basedOn w:val="a"/>
    <w:uiPriority w:val="99"/>
    <w:unhideWhenUsed/>
    <w:qFormat/>
    <w:rsid w:val="00406DF0"/>
    <w:pPr>
      <w:tabs>
        <w:tab w:val="center" w:pos="4153"/>
        <w:tab w:val="right" w:pos="8306"/>
      </w:tabs>
      <w:snapToGrid w:val="0"/>
      <w:jc w:val="left"/>
    </w:pPr>
    <w:rPr>
      <w:sz w:val="18"/>
    </w:rPr>
  </w:style>
  <w:style w:type="paragraph" w:styleId="a5">
    <w:name w:val="header"/>
    <w:basedOn w:val="a"/>
    <w:uiPriority w:val="99"/>
    <w:unhideWhenUsed/>
    <w:qFormat/>
    <w:rsid w:val="00406D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uiPriority w:val="22"/>
    <w:qFormat/>
    <w:rsid w:val="00406DF0"/>
    <w:rPr>
      <w:b/>
    </w:rPr>
  </w:style>
  <w:style w:type="character" w:styleId="a7">
    <w:name w:val="Hyperlink"/>
    <w:basedOn w:val="a0"/>
    <w:uiPriority w:val="99"/>
    <w:semiHidden/>
    <w:unhideWhenUsed/>
    <w:qFormat/>
    <w:rsid w:val="00406DF0"/>
    <w:rPr>
      <w:color w:val="0000FF"/>
      <w:u w:val="single"/>
    </w:rPr>
  </w:style>
  <w:style w:type="paragraph" w:styleId="a8">
    <w:name w:val="List Paragraph"/>
    <w:basedOn w:val="a"/>
    <w:uiPriority w:val="34"/>
    <w:qFormat/>
    <w:rsid w:val="00406DF0"/>
    <w:pPr>
      <w:ind w:firstLineChars="200" w:firstLine="420"/>
    </w:pPr>
  </w:style>
  <w:style w:type="character" w:customStyle="1" w:styleId="font01">
    <w:name w:val="font01"/>
    <w:qFormat/>
    <w:rsid w:val="00406DF0"/>
    <w:rPr>
      <w:rFonts w:ascii="黑体" w:eastAsia="黑体" w:hAnsi="宋体" w:cs="黑体" w:hint="eastAsia"/>
      <w:color w:val="000000"/>
      <w:sz w:val="24"/>
      <w:szCs w:val="24"/>
      <w:u w:val="none"/>
    </w:rPr>
  </w:style>
  <w:style w:type="character" w:customStyle="1" w:styleId="font31">
    <w:name w:val="font31"/>
    <w:qFormat/>
    <w:rsid w:val="00406DF0"/>
    <w:rPr>
      <w:rFonts w:ascii="黑体" w:eastAsia="黑体" w:hAnsi="宋体" w:cs="黑体" w:hint="eastAsia"/>
      <w:color w:val="000000"/>
      <w:sz w:val="24"/>
      <w:szCs w:val="24"/>
      <w:u w:val="none"/>
    </w:rPr>
  </w:style>
  <w:style w:type="character" w:customStyle="1" w:styleId="Char">
    <w:name w:val="批注框文本 Char"/>
    <w:basedOn w:val="a0"/>
    <w:link w:val="a3"/>
    <w:uiPriority w:val="99"/>
    <w:semiHidden/>
    <w:qFormat/>
    <w:rsid w:val="00406D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Company>ITSK.com</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y</dc:creator>
  <cp:lastModifiedBy>杨彩玉</cp:lastModifiedBy>
  <cp:revision>4</cp:revision>
  <cp:lastPrinted>2022-07-08T16:15:00Z</cp:lastPrinted>
  <dcterms:created xsi:type="dcterms:W3CDTF">2023-04-13T09:03:00Z</dcterms:created>
  <dcterms:modified xsi:type="dcterms:W3CDTF">2023-04-14T02:00:00Z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