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5C" w:rsidRPr="006C7480" w:rsidRDefault="00287051">
      <w:pPr>
        <w:spacing w:line="600" w:lineRule="exact"/>
        <w:jc w:val="center"/>
        <w:textAlignment w:val="baseline"/>
        <w:rPr>
          <w:rFonts w:ascii="方正小标宋简体" w:eastAsia="方正小标宋简体" w:hAnsi="Times New Roman" w:cs="Times New Roman" w:hint="eastAsia"/>
          <w:sz w:val="44"/>
          <w:szCs w:val="44"/>
        </w:rPr>
      </w:pPr>
      <w:r w:rsidRPr="006C7480">
        <w:rPr>
          <w:rFonts w:ascii="方正小标宋简体" w:eastAsia="方正小标宋简体" w:hAnsi="Times New Roman" w:cs="Times New Roman" w:hint="eastAsia"/>
          <w:sz w:val="44"/>
          <w:szCs w:val="44"/>
        </w:rPr>
        <w:t>“东莞建造”优质</w:t>
      </w:r>
      <w:r w:rsidRPr="006C7480">
        <w:rPr>
          <w:rFonts w:ascii="方正小标宋简体" w:eastAsia="方正小标宋简体" w:hAnsi="Times New Roman" w:cs="Times New Roman" w:hint="eastAsia"/>
          <w:sz w:val="44"/>
          <w:szCs w:val="44"/>
        </w:rPr>
        <w:t>工程勘察</w:t>
      </w:r>
      <w:r w:rsidRPr="006C7480">
        <w:rPr>
          <w:rFonts w:ascii="方正小标宋简体" w:eastAsia="方正小标宋简体" w:hAnsi="Times New Roman" w:cs="Times New Roman" w:hint="eastAsia"/>
          <w:sz w:val="44"/>
          <w:szCs w:val="44"/>
        </w:rPr>
        <w:t>企业评价</w:t>
      </w:r>
    </w:p>
    <w:p w:rsidR="009F185C" w:rsidRPr="006C7480" w:rsidRDefault="00287051">
      <w:pPr>
        <w:spacing w:line="600" w:lineRule="exact"/>
        <w:jc w:val="center"/>
        <w:textAlignment w:val="baseline"/>
        <w:rPr>
          <w:rFonts w:ascii="方正小标宋简体" w:eastAsia="方正小标宋简体" w:hAnsi="Times New Roman" w:cs="Times New Roman" w:hint="eastAsia"/>
          <w:sz w:val="44"/>
          <w:szCs w:val="44"/>
        </w:rPr>
      </w:pPr>
      <w:r w:rsidRPr="006C7480">
        <w:rPr>
          <w:rFonts w:ascii="方正小标宋简体" w:eastAsia="方正小标宋简体" w:hAnsi="Times New Roman" w:cs="Times New Roman" w:hint="eastAsia"/>
          <w:sz w:val="44"/>
          <w:szCs w:val="44"/>
        </w:rPr>
        <w:t>工作方案</w:t>
      </w:r>
    </w:p>
    <w:p w:rsidR="009F185C" w:rsidRDefault="009F185C">
      <w:pPr>
        <w:spacing w:line="560" w:lineRule="exact"/>
        <w:ind w:firstLineChars="200" w:firstLine="640"/>
        <w:jc w:val="left"/>
        <w:textAlignment w:val="baseline"/>
        <w:rPr>
          <w:rFonts w:ascii="Times New Roman" w:eastAsia="仿宋_GB2312" w:hAnsi="Times New Roman" w:cs="Times New Roman"/>
          <w:sz w:val="32"/>
          <w:szCs w:val="32"/>
        </w:rPr>
      </w:pPr>
    </w:p>
    <w:p w:rsidR="009F185C" w:rsidRDefault="00287051">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为进一步促进我市建筑业发展</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城市品质，提高优质</w:t>
      </w:r>
      <w:r>
        <w:rPr>
          <w:rFonts w:ascii="Times New Roman" w:eastAsia="仿宋_GB2312" w:hAnsi="Times New Roman" w:cs="Times New Roman" w:hint="eastAsia"/>
          <w:sz w:val="32"/>
          <w:szCs w:val="32"/>
        </w:rPr>
        <w:t>工程勘察</w:t>
      </w:r>
      <w:r>
        <w:rPr>
          <w:rFonts w:ascii="Times New Roman" w:eastAsia="仿宋_GB2312" w:hAnsi="Times New Roman" w:cs="Times New Roman"/>
          <w:sz w:val="32"/>
          <w:szCs w:val="32"/>
        </w:rPr>
        <w:t>企业美誉度，培育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工程勘察</w:t>
      </w:r>
      <w:r>
        <w:rPr>
          <w:rFonts w:ascii="Times New Roman" w:eastAsia="仿宋_GB2312" w:hAnsi="Times New Roman" w:cs="Times New Roman"/>
          <w:sz w:val="32"/>
          <w:szCs w:val="32"/>
        </w:rPr>
        <w:t>企业名</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，结合前期调研情况，</w:t>
      </w:r>
      <w:r>
        <w:rPr>
          <w:rFonts w:ascii="Times New Roman" w:eastAsia="仿宋_GB2312" w:hAnsi="Times New Roman" w:cs="Times New Roman" w:hint="eastAsia"/>
          <w:sz w:val="32"/>
          <w:szCs w:val="32"/>
        </w:rPr>
        <w:t>市住建局制定了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工程勘察</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评价工作</w:t>
      </w:r>
      <w:r>
        <w:rPr>
          <w:rFonts w:ascii="Times New Roman" w:eastAsia="仿宋_GB2312" w:hAnsi="Times New Roman" w:cs="Times New Roman"/>
          <w:sz w:val="32"/>
          <w:szCs w:val="32"/>
        </w:rPr>
        <w:t>方案，</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rsidR="009F185C" w:rsidRDefault="00287051">
      <w:pPr>
        <w:spacing w:line="520" w:lineRule="exact"/>
        <w:ind w:firstLine="640"/>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一、评价对象</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具有住建部门颁发</w:t>
      </w:r>
      <w:r>
        <w:rPr>
          <w:rFonts w:ascii="Times New Roman" w:eastAsia="仿宋_GB2312" w:hAnsi="Times New Roman" w:cs="Times New Roman" w:hint="eastAsia"/>
          <w:sz w:val="32"/>
          <w:szCs w:val="32"/>
        </w:rPr>
        <w:t>专项资质以上的</w:t>
      </w:r>
      <w:r>
        <w:rPr>
          <w:rFonts w:ascii="Times New Roman" w:eastAsia="仿宋_GB2312" w:hAnsi="Times New Roman" w:cs="Times New Roman"/>
          <w:sz w:val="32"/>
          <w:szCs w:val="32"/>
        </w:rPr>
        <w:t>工程</w:t>
      </w:r>
      <w:r>
        <w:rPr>
          <w:rFonts w:ascii="Times New Roman" w:eastAsia="仿宋_GB2312" w:hAnsi="Times New Roman" w:cs="Times New Roman" w:hint="eastAsia"/>
          <w:sz w:val="32"/>
          <w:szCs w:val="32"/>
        </w:rPr>
        <w:t>勘察</w:t>
      </w:r>
      <w:r>
        <w:rPr>
          <w:rFonts w:ascii="Times New Roman" w:eastAsia="仿宋_GB2312" w:hAnsi="Times New Roman" w:cs="Times New Roman"/>
          <w:sz w:val="32"/>
          <w:szCs w:val="32"/>
        </w:rPr>
        <w:t>企业。</w:t>
      </w:r>
    </w:p>
    <w:p w:rsidR="009F185C" w:rsidRDefault="00287051">
      <w:pPr>
        <w:spacing w:line="520" w:lineRule="exact"/>
        <w:ind w:firstLine="640"/>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二、评价原则</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综合评价</w:t>
      </w:r>
      <w:r>
        <w:rPr>
          <w:rFonts w:ascii="Times New Roman" w:eastAsia="仿宋_GB2312" w:hAnsi="Times New Roman" w:cs="Times New Roman" w:hint="eastAsia"/>
          <w:sz w:val="32"/>
          <w:szCs w:val="32"/>
        </w:rPr>
        <w:t>，突出人员素质、服务品质。</w:t>
      </w:r>
    </w:p>
    <w:p w:rsidR="009F185C" w:rsidRDefault="00287051">
      <w:pPr>
        <w:spacing w:line="520" w:lineRule="exact"/>
        <w:ind w:firstLine="640"/>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三、评价指标和标准</w:t>
      </w:r>
    </w:p>
    <w:p w:rsidR="009F185C" w:rsidRDefault="00287051">
      <w:pPr>
        <w:spacing w:line="600" w:lineRule="exact"/>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评价指标包括：</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年度税收贡献</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年度量化评价结果</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color w:val="000000" w:themeColor="text1"/>
          <w:sz w:val="32"/>
          <w:szCs w:val="32"/>
          <w:highlight w:val="yellow"/>
        </w:rPr>
        <w:t>评价时企业资质、人才情况</w:t>
      </w:r>
      <w:r>
        <w:rPr>
          <w:rFonts w:ascii="Times New Roman" w:eastAsia="仿宋_GB2312" w:hAnsi="Times New Roman" w:cs="Times New Roman" w:hint="eastAsia"/>
          <w:color w:val="000000" w:themeColor="text1"/>
          <w:sz w:val="32"/>
          <w:szCs w:val="32"/>
          <w:highlight w:val="yellow"/>
        </w:rPr>
        <w:t>以及</w:t>
      </w:r>
      <w:r>
        <w:rPr>
          <w:rFonts w:ascii="Times New Roman" w:eastAsia="仿宋_GB2312" w:hAnsi="Times New Roman" w:cs="Times New Roman"/>
          <w:color w:val="000000" w:themeColor="text1"/>
          <w:sz w:val="32"/>
          <w:szCs w:val="32"/>
          <w:highlight w:val="yellow"/>
        </w:rPr>
        <w:t>信用分值</w:t>
      </w:r>
      <w:r>
        <w:rPr>
          <w:rFonts w:ascii="Times New Roman" w:eastAsia="仿宋_GB2312" w:hAnsi="Times New Roman" w:cs="Times New Roman"/>
          <w:sz w:val="32"/>
          <w:szCs w:val="32"/>
        </w:rPr>
        <w:t>。评价满分为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分。各指标权重和评价标准见下表。</w:t>
      </w:r>
    </w:p>
    <w:p w:rsidR="009F185C" w:rsidRPr="006C7480" w:rsidRDefault="009F185C">
      <w:pPr>
        <w:spacing w:line="560" w:lineRule="exact"/>
        <w:ind w:firstLine="640"/>
        <w:textAlignment w:val="baseline"/>
        <w:rPr>
          <w:rFonts w:ascii="Times New Roman" w:eastAsia="仿宋_GB2312" w:hAnsi="Times New Roman" w:cs="Times New Roman"/>
          <w:sz w:val="32"/>
          <w:szCs w:val="32"/>
        </w:rPr>
      </w:pPr>
    </w:p>
    <w:p w:rsidR="009F185C" w:rsidRDefault="009F185C">
      <w:pPr>
        <w:spacing w:line="560" w:lineRule="exact"/>
        <w:ind w:firstLine="640"/>
        <w:textAlignment w:val="baseline"/>
        <w:rPr>
          <w:rFonts w:ascii="Times New Roman" w:eastAsia="仿宋_GB2312" w:hAnsi="Times New Roman" w:cs="Times New Roman"/>
          <w:sz w:val="32"/>
          <w:szCs w:val="32"/>
        </w:rPr>
      </w:pPr>
    </w:p>
    <w:p w:rsidR="009F185C" w:rsidRDefault="009F185C">
      <w:pPr>
        <w:spacing w:line="560" w:lineRule="exact"/>
        <w:ind w:firstLine="640"/>
        <w:textAlignment w:val="baseline"/>
        <w:rPr>
          <w:rFonts w:ascii="Times New Roman" w:eastAsia="仿宋_GB2312" w:hAnsi="Times New Roman" w:cs="Times New Roman"/>
          <w:sz w:val="32"/>
          <w:szCs w:val="32"/>
        </w:rPr>
      </w:pPr>
    </w:p>
    <w:p w:rsidR="009F185C" w:rsidRDefault="009F185C">
      <w:pPr>
        <w:spacing w:line="560" w:lineRule="exact"/>
        <w:ind w:firstLine="640"/>
        <w:textAlignment w:val="baseline"/>
        <w:rPr>
          <w:rFonts w:ascii="Times New Roman" w:eastAsia="仿宋_GB2312" w:hAnsi="Times New Roman" w:cs="Times New Roman"/>
          <w:sz w:val="32"/>
          <w:szCs w:val="32"/>
        </w:rPr>
      </w:pPr>
    </w:p>
    <w:p w:rsidR="009F185C" w:rsidRDefault="009F185C">
      <w:pPr>
        <w:spacing w:line="560" w:lineRule="exact"/>
        <w:ind w:firstLine="640"/>
        <w:textAlignment w:val="baseline"/>
        <w:rPr>
          <w:rFonts w:ascii="Times New Roman" w:eastAsia="仿宋_GB2312" w:hAnsi="Times New Roman" w:cs="Times New Roman"/>
          <w:sz w:val="32"/>
          <w:szCs w:val="32"/>
        </w:rPr>
      </w:pPr>
    </w:p>
    <w:p w:rsidR="009F185C" w:rsidRDefault="009F185C">
      <w:pPr>
        <w:spacing w:line="560" w:lineRule="exact"/>
        <w:ind w:firstLine="640"/>
        <w:textAlignment w:val="baseline"/>
        <w:rPr>
          <w:rFonts w:ascii="Times New Roman" w:eastAsia="仿宋_GB2312" w:hAnsi="Times New Roman" w:cs="Times New Roman"/>
          <w:sz w:val="32"/>
          <w:szCs w:val="32"/>
        </w:rPr>
      </w:pPr>
    </w:p>
    <w:tbl>
      <w:tblPr>
        <w:tblW w:w="9073" w:type="dxa"/>
        <w:tblInd w:w="-269" w:type="dxa"/>
        <w:tblLayout w:type="fixed"/>
        <w:tblCellMar>
          <w:left w:w="0" w:type="dxa"/>
          <w:right w:w="0" w:type="dxa"/>
        </w:tblCellMar>
        <w:tblLook w:val="04A0"/>
      </w:tblPr>
      <w:tblGrid>
        <w:gridCol w:w="820"/>
        <w:gridCol w:w="1783"/>
        <w:gridCol w:w="1299"/>
        <w:gridCol w:w="3624"/>
        <w:gridCol w:w="1547"/>
      </w:tblGrid>
      <w:tr w:rsidR="009F185C">
        <w:trPr>
          <w:trHeight w:val="438"/>
        </w:trPr>
        <w:tc>
          <w:tcPr>
            <w:tcW w:w="9073" w:type="dxa"/>
            <w:gridSpan w:val="5"/>
            <w:tcBorders>
              <w:top w:val="nil"/>
              <w:left w:val="nil"/>
              <w:bottom w:val="nil"/>
              <w:right w:val="nil"/>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kern w:val="0"/>
                <w:sz w:val="36"/>
                <w:szCs w:val="36"/>
              </w:rPr>
            </w:pPr>
          </w:p>
          <w:p w:rsidR="009F185C" w:rsidRDefault="009F185C">
            <w:pPr>
              <w:widowControl/>
              <w:spacing w:line="360" w:lineRule="exact"/>
              <w:jc w:val="center"/>
              <w:textAlignment w:val="center"/>
              <w:rPr>
                <w:rFonts w:ascii="Times New Roman" w:eastAsia="仿宋_GB2312" w:hAnsi="Times New Roman" w:cs="Times New Roman"/>
                <w:bCs/>
                <w:kern w:val="0"/>
                <w:sz w:val="36"/>
                <w:szCs w:val="36"/>
              </w:rPr>
            </w:pPr>
          </w:p>
          <w:p w:rsidR="009F185C" w:rsidRDefault="009F185C">
            <w:pPr>
              <w:widowControl/>
              <w:spacing w:line="360" w:lineRule="exact"/>
              <w:jc w:val="center"/>
              <w:textAlignment w:val="center"/>
              <w:rPr>
                <w:rFonts w:ascii="Times New Roman" w:eastAsia="仿宋_GB2312" w:hAnsi="Times New Roman" w:cs="Times New Roman"/>
                <w:bCs/>
                <w:kern w:val="0"/>
                <w:sz w:val="36"/>
                <w:szCs w:val="36"/>
              </w:rPr>
            </w:pPr>
          </w:p>
          <w:p w:rsidR="009F185C" w:rsidRDefault="009F185C">
            <w:pPr>
              <w:widowControl/>
              <w:spacing w:line="360" w:lineRule="exact"/>
              <w:jc w:val="center"/>
              <w:textAlignment w:val="center"/>
              <w:rPr>
                <w:rFonts w:ascii="Times New Roman" w:eastAsia="仿宋_GB2312" w:hAnsi="Times New Roman" w:cs="Times New Roman"/>
                <w:bCs/>
                <w:kern w:val="0"/>
                <w:sz w:val="36"/>
                <w:szCs w:val="36"/>
              </w:rPr>
            </w:pPr>
          </w:p>
          <w:p w:rsidR="009F185C" w:rsidRDefault="009F185C">
            <w:pPr>
              <w:widowControl/>
              <w:spacing w:line="360" w:lineRule="exact"/>
              <w:jc w:val="center"/>
              <w:textAlignment w:val="center"/>
              <w:rPr>
                <w:rFonts w:ascii="Times New Roman" w:eastAsia="仿宋_GB2312" w:hAnsi="Times New Roman" w:cs="Times New Roman"/>
                <w:bCs/>
                <w:kern w:val="0"/>
                <w:sz w:val="36"/>
                <w:szCs w:val="36"/>
              </w:rPr>
            </w:pPr>
          </w:p>
          <w:p w:rsidR="009F185C" w:rsidRDefault="009F185C">
            <w:pPr>
              <w:widowControl/>
              <w:spacing w:line="360" w:lineRule="exact"/>
              <w:jc w:val="center"/>
              <w:textAlignment w:val="center"/>
              <w:rPr>
                <w:rFonts w:ascii="Times New Roman" w:eastAsia="仿宋_GB2312" w:hAnsi="Times New Roman" w:cs="Times New Roman"/>
                <w:b/>
                <w:bCs/>
                <w:kern w:val="0"/>
                <w:sz w:val="36"/>
                <w:szCs w:val="36"/>
              </w:rPr>
            </w:pPr>
          </w:p>
          <w:p w:rsidR="009F185C" w:rsidRDefault="00287051">
            <w:pPr>
              <w:widowControl/>
              <w:spacing w:line="360" w:lineRule="exact"/>
              <w:jc w:val="center"/>
              <w:textAlignment w:val="center"/>
              <w:rPr>
                <w:rFonts w:ascii="Times New Roman" w:eastAsia="仿宋_GB2312" w:hAnsi="Times New Roman" w:cs="Times New Roman"/>
                <w:bCs/>
                <w:sz w:val="36"/>
                <w:szCs w:val="36"/>
              </w:rPr>
            </w:pPr>
            <w:r>
              <w:rPr>
                <w:rFonts w:ascii="Times New Roman" w:eastAsia="仿宋_GB2312" w:hAnsi="Times New Roman" w:cs="Times New Roman" w:hint="eastAsia"/>
                <w:b/>
                <w:bCs/>
                <w:kern w:val="0"/>
                <w:sz w:val="36"/>
                <w:szCs w:val="36"/>
              </w:rPr>
              <w:lastRenderedPageBreak/>
              <w:t>工程勘察企业</w:t>
            </w:r>
            <w:r>
              <w:rPr>
                <w:rFonts w:ascii="Times New Roman" w:eastAsia="仿宋_GB2312" w:hAnsi="Times New Roman" w:cs="Times New Roman"/>
                <w:b/>
                <w:bCs/>
                <w:kern w:val="0"/>
                <w:sz w:val="36"/>
                <w:szCs w:val="36"/>
              </w:rPr>
              <w:t>评价指标及评分标准构成表</w:t>
            </w:r>
          </w:p>
        </w:tc>
      </w:tr>
      <w:tr w:rsidR="009F185C">
        <w:trPr>
          <w:trHeight w:val="569"/>
        </w:trPr>
        <w:tc>
          <w:tcPr>
            <w:tcW w:w="8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序号</w:t>
            </w: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评价事项</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单项权重</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评价标准</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评分分值</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r>
      <w:tr w:rsidR="009F185C">
        <w:trPr>
          <w:trHeight w:val="313"/>
        </w:trPr>
        <w:tc>
          <w:tcPr>
            <w:tcW w:w="820" w:type="dxa"/>
            <w:vMerge w:val="restart"/>
            <w:tcBorders>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c>
          <w:tcPr>
            <w:tcW w:w="1783" w:type="dxa"/>
            <w:vMerge w:val="restart"/>
            <w:tcBorders>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企业资质</w:t>
            </w:r>
          </w:p>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（非综合甲级资质，分值最高</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分。）</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工程勘察综合甲级</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9F185C">
        <w:trPr>
          <w:trHeight w:val="313"/>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工程勘察专业类</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岩土工程</w:t>
            </w:r>
            <w:r>
              <w:rPr>
                <w:rFonts w:ascii="Times New Roman" w:eastAsia="仿宋_GB2312" w:hAnsi="Times New Roman" w:cs="Times New Roman" w:hint="eastAsia"/>
                <w:bCs/>
                <w:sz w:val="24"/>
                <w:szCs w:val="24"/>
              </w:rPr>
              <w:t>或水文地质勘察或工程测量）</w:t>
            </w:r>
            <w:r>
              <w:rPr>
                <w:rFonts w:ascii="Times New Roman" w:eastAsia="仿宋_GB2312" w:hAnsi="Times New Roman" w:cs="Times New Roman"/>
                <w:bCs/>
                <w:sz w:val="24"/>
                <w:szCs w:val="24"/>
              </w:rPr>
              <w:t>甲级</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每</w:t>
            </w:r>
            <w:r>
              <w:rPr>
                <w:rFonts w:ascii="Times New Roman" w:eastAsia="仿宋_GB2312" w:hAnsi="Times New Roman" w:cs="Times New Roman" w:hint="eastAsia"/>
                <w:bCs/>
                <w:sz w:val="24"/>
                <w:szCs w:val="24"/>
              </w:rPr>
              <w:t>多一</w:t>
            </w:r>
            <w:r>
              <w:rPr>
                <w:rFonts w:ascii="Times New Roman" w:eastAsia="仿宋_GB2312" w:hAnsi="Times New Roman" w:cs="Times New Roman"/>
                <w:bCs/>
                <w:sz w:val="24"/>
                <w:szCs w:val="24"/>
              </w:rPr>
              <w:t>项加</w:t>
            </w:r>
            <w:r>
              <w:rPr>
                <w:rFonts w:ascii="Times New Roman" w:eastAsia="仿宋_GB2312" w:hAnsi="Times New Roman" w:cs="Times New Roman" w:hint="eastAsia"/>
                <w:bCs/>
                <w:sz w:val="24"/>
                <w:szCs w:val="24"/>
              </w:rPr>
              <w:t>3</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p>
        </w:tc>
      </w:tr>
      <w:tr w:rsidR="009F185C">
        <w:trPr>
          <w:trHeight w:val="313"/>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工程勘察专业类</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岩土工程</w:t>
            </w:r>
            <w:r>
              <w:rPr>
                <w:rFonts w:ascii="Times New Roman" w:eastAsia="仿宋_GB2312" w:hAnsi="Times New Roman" w:cs="Times New Roman" w:hint="eastAsia"/>
                <w:bCs/>
                <w:sz w:val="24"/>
                <w:szCs w:val="24"/>
              </w:rPr>
              <w:t>或水文地质勘察或工程测量）乙</w:t>
            </w:r>
            <w:r>
              <w:rPr>
                <w:rFonts w:ascii="Times New Roman" w:eastAsia="仿宋_GB2312" w:hAnsi="Times New Roman" w:cs="Times New Roman"/>
                <w:bCs/>
                <w:sz w:val="24"/>
                <w:szCs w:val="24"/>
              </w:rPr>
              <w:t>级</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每</w:t>
            </w:r>
            <w:r>
              <w:rPr>
                <w:rFonts w:ascii="Times New Roman" w:eastAsia="仿宋_GB2312" w:hAnsi="Times New Roman" w:cs="Times New Roman" w:hint="eastAsia"/>
                <w:bCs/>
                <w:sz w:val="24"/>
                <w:szCs w:val="24"/>
              </w:rPr>
              <w:t>多一</w:t>
            </w:r>
            <w:r>
              <w:rPr>
                <w:rFonts w:ascii="Times New Roman" w:eastAsia="仿宋_GB2312" w:hAnsi="Times New Roman" w:cs="Times New Roman"/>
                <w:bCs/>
                <w:sz w:val="24"/>
                <w:szCs w:val="24"/>
              </w:rPr>
              <w:t>项加</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p>
        </w:tc>
      </w:tr>
      <w:tr w:rsidR="009F185C">
        <w:trPr>
          <w:trHeight w:val="1573"/>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岩土工程（勘察</w:t>
            </w:r>
            <w:r>
              <w:rPr>
                <w:rFonts w:ascii="Times New Roman" w:eastAsia="仿宋_GB2312" w:hAnsi="Times New Roman" w:cs="Times New Roman" w:hint="eastAsia"/>
                <w:bCs/>
                <w:sz w:val="24"/>
                <w:szCs w:val="24"/>
              </w:rPr>
              <w:t>或设计或</w:t>
            </w:r>
            <w:r>
              <w:rPr>
                <w:rFonts w:ascii="Times New Roman" w:eastAsia="仿宋_GB2312" w:hAnsi="Times New Roman" w:cs="Times New Roman"/>
                <w:bCs/>
                <w:sz w:val="24"/>
                <w:szCs w:val="24"/>
              </w:rPr>
              <w:t>物探测试检测监测）甲级资质</w:t>
            </w:r>
          </w:p>
        </w:tc>
        <w:tc>
          <w:tcPr>
            <w:tcW w:w="15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每个专项甲级资质加</w:t>
            </w:r>
            <w:r>
              <w:rPr>
                <w:rFonts w:ascii="Times New Roman" w:eastAsia="仿宋_GB2312" w:hAnsi="Times New Roman" w:cs="Times New Roman" w:hint="eastAsia"/>
                <w:bCs/>
                <w:sz w:val="24"/>
                <w:szCs w:val="24"/>
              </w:rPr>
              <w:t>2</w:t>
            </w:r>
            <w:r>
              <w:rPr>
                <w:rFonts w:ascii="Times New Roman" w:eastAsia="仿宋_GB2312" w:hAnsi="Times New Roman" w:cs="Times New Roman" w:hint="eastAsia"/>
                <w:bCs/>
                <w:sz w:val="24"/>
                <w:szCs w:val="24"/>
              </w:rPr>
              <w:t>分</w:t>
            </w:r>
          </w:p>
        </w:tc>
      </w:tr>
      <w:tr w:rsidR="009F185C">
        <w:trPr>
          <w:trHeight w:val="695"/>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岩土工程（勘察</w:t>
            </w:r>
            <w:r>
              <w:rPr>
                <w:rFonts w:ascii="Times New Roman" w:eastAsia="仿宋_GB2312" w:hAnsi="Times New Roman" w:cs="Times New Roman" w:hint="eastAsia"/>
                <w:bCs/>
                <w:sz w:val="24"/>
                <w:szCs w:val="24"/>
              </w:rPr>
              <w:t>或设计或</w:t>
            </w:r>
            <w:r>
              <w:rPr>
                <w:rFonts w:ascii="Times New Roman" w:eastAsia="仿宋_GB2312" w:hAnsi="Times New Roman" w:cs="Times New Roman"/>
                <w:bCs/>
                <w:sz w:val="24"/>
                <w:szCs w:val="24"/>
              </w:rPr>
              <w:t>物探测试检测监测）</w:t>
            </w:r>
            <w:r>
              <w:rPr>
                <w:rFonts w:ascii="Times New Roman" w:eastAsia="仿宋_GB2312" w:hAnsi="Times New Roman" w:cs="Times New Roman" w:hint="eastAsia"/>
                <w:bCs/>
                <w:sz w:val="24"/>
                <w:szCs w:val="24"/>
              </w:rPr>
              <w:t>乙</w:t>
            </w:r>
            <w:r>
              <w:rPr>
                <w:rFonts w:ascii="Times New Roman" w:eastAsia="仿宋_GB2312" w:hAnsi="Times New Roman" w:cs="Times New Roman"/>
                <w:bCs/>
                <w:sz w:val="24"/>
                <w:szCs w:val="24"/>
              </w:rPr>
              <w:t>级资质</w:t>
            </w:r>
          </w:p>
        </w:tc>
        <w:tc>
          <w:tcPr>
            <w:tcW w:w="1547" w:type="dxa"/>
            <w:tcBorders>
              <w:top w:val="single" w:sz="4" w:space="0" w:color="auto"/>
              <w:left w:val="single" w:sz="4" w:space="0" w:color="000000"/>
              <w:right w:val="single" w:sz="4" w:space="0" w:color="000000"/>
            </w:tcBorders>
            <w:noWrap/>
            <w:tcMar>
              <w:top w:w="15" w:type="dxa"/>
              <w:left w:w="15" w:type="dxa"/>
              <w:right w:w="15" w:type="dxa"/>
            </w:tcMar>
            <w:vAlign w:val="center"/>
          </w:tcPr>
          <w:p w:rsidR="009F185C" w:rsidRDefault="00287051">
            <w:pPr>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每个专项乙级资质加</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分</w:t>
            </w:r>
          </w:p>
        </w:tc>
      </w:tr>
      <w:tr w:rsidR="009F185C">
        <w:trPr>
          <w:trHeight w:val="533"/>
        </w:trPr>
        <w:tc>
          <w:tcPr>
            <w:tcW w:w="820"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1783"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评价时人才情况</w:t>
            </w: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5</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5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w:t>
            </w:r>
            <w:r>
              <w:rPr>
                <w:rFonts w:ascii="Times New Roman" w:eastAsia="仿宋_GB2312" w:hAnsi="Times New Roman" w:cs="Times New Roman" w:hint="eastAsia"/>
                <w:bCs/>
                <w:sz w:val="24"/>
                <w:szCs w:val="24"/>
              </w:rPr>
              <w:lastRenderedPageBreak/>
              <w:t>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lastRenderedPageBreak/>
              <w:t>6</w:t>
            </w:r>
          </w:p>
        </w:tc>
      </w:tr>
      <w:tr w:rsidR="009F185C">
        <w:trPr>
          <w:trHeight w:val="533"/>
        </w:trPr>
        <w:tc>
          <w:tcPr>
            <w:tcW w:w="820"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9F185C">
        <w:trPr>
          <w:trHeight w:val="533"/>
        </w:trPr>
        <w:tc>
          <w:tcPr>
            <w:tcW w:w="820"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年度税收</w:t>
            </w:r>
          </w:p>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贡献</w:t>
            </w:r>
          </w:p>
          <w:p w:rsidR="009F185C" w:rsidRDefault="00287051">
            <w:pPr>
              <w:widowControl/>
              <w:spacing w:line="360" w:lineRule="exact"/>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20</w:t>
            </w: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20</w:t>
            </w:r>
          </w:p>
        </w:tc>
      </w:tr>
      <w:tr w:rsidR="009F185C">
        <w:trPr>
          <w:trHeight w:val="533"/>
        </w:trPr>
        <w:tc>
          <w:tcPr>
            <w:tcW w:w="820" w:type="dxa"/>
            <w:vMerge/>
            <w:tcBorders>
              <w:left w:val="single" w:sz="4" w:space="0" w:color="auto"/>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15</w:t>
            </w:r>
          </w:p>
        </w:tc>
      </w:tr>
      <w:tr w:rsidR="009F185C">
        <w:trPr>
          <w:trHeight w:val="533"/>
        </w:trPr>
        <w:tc>
          <w:tcPr>
            <w:tcW w:w="820" w:type="dxa"/>
            <w:vMerge/>
            <w:tcBorders>
              <w:left w:val="single" w:sz="4" w:space="0" w:color="auto"/>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10</w:t>
            </w:r>
          </w:p>
        </w:tc>
      </w:tr>
      <w:tr w:rsidR="009F185C">
        <w:trPr>
          <w:trHeight w:val="533"/>
        </w:trPr>
        <w:tc>
          <w:tcPr>
            <w:tcW w:w="820" w:type="dxa"/>
            <w:vMerge/>
            <w:tcBorders>
              <w:left w:val="single" w:sz="4" w:space="0" w:color="auto"/>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5</w:t>
            </w:r>
          </w:p>
        </w:tc>
      </w:tr>
      <w:tr w:rsidR="009F185C">
        <w:trPr>
          <w:trHeight w:val="533"/>
        </w:trPr>
        <w:tc>
          <w:tcPr>
            <w:tcW w:w="820" w:type="dxa"/>
            <w:vMerge/>
            <w:tcBorders>
              <w:left w:val="single" w:sz="4" w:space="0" w:color="auto"/>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w:t>
            </w:r>
          </w:p>
        </w:tc>
      </w:tr>
      <w:tr w:rsidR="009F185C">
        <w:trPr>
          <w:trHeight w:val="312"/>
        </w:trPr>
        <w:tc>
          <w:tcPr>
            <w:tcW w:w="820"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4</w:t>
            </w:r>
          </w:p>
        </w:tc>
        <w:tc>
          <w:tcPr>
            <w:tcW w:w="1783"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信用分值</w:t>
            </w:r>
          </w:p>
        </w:tc>
        <w:tc>
          <w:tcPr>
            <w:tcW w:w="129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9F185C">
        <w:trPr>
          <w:trHeight w:val="312"/>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9F185C">
        <w:trPr>
          <w:trHeight w:val="312"/>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9F185C">
        <w:trPr>
          <w:trHeight w:val="312"/>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9F185C">
        <w:trPr>
          <w:trHeight w:val="312"/>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9F185C">
        <w:trPr>
          <w:trHeight w:val="166"/>
        </w:trPr>
        <w:tc>
          <w:tcPr>
            <w:tcW w:w="82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年度量化</w:t>
            </w:r>
          </w:p>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评价</w:t>
            </w:r>
          </w:p>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10</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10</w:t>
            </w:r>
          </w:p>
        </w:tc>
      </w:tr>
      <w:tr w:rsidR="009F185C">
        <w:trPr>
          <w:trHeight w:val="166"/>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8</w:t>
            </w:r>
          </w:p>
        </w:tc>
      </w:tr>
      <w:tr w:rsidR="009F185C">
        <w:trPr>
          <w:trHeight w:val="166"/>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6</w:t>
            </w:r>
          </w:p>
        </w:tc>
      </w:tr>
      <w:tr w:rsidR="009F185C">
        <w:trPr>
          <w:trHeight w:val="166"/>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4</w:t>
            </w:r>
          </w:p>
        </w:tc>
      </w:tr>
      <w:tr w:rsidR="009F185C">
        <w:trPr>
          <w:trHeight w:val="166"/>
        </w:trPr>
        <w:tc>
          <w:tcPr>
            <w:tcW w:w="820"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9F185C" w:rsidRDefault="009F185C">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2</w:t>
            </w:r>
          </w:p>
        </w:tc>
      </w:tr>
      <w:tr w:rsidR="009F185C">
        <w:trPr>
          <w:trHeight w:val="312"/>
        </w:trPr>
        <w:tc>
          <w:tcPr>
            <w:tcW w:w="260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185C" w:rsidRDefault="00287051">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合计</w:t>
            </w:r>
          </w:p>
        </w:tc>
        <w:tc>
          <w:tcPr>
            <w:tcW w:w="6470"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F185C" w:rsidRDefault="00287051">
            <w:pPr>
              <w:widowControl/>
              <w:spacing w:line="36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100</w:t>
            </w:r>
            <w:r>
              <w:rPr>
                <w:rFonts w:ascii="Times New Roman" w:eastAsia="仿宋_GB2312" w:hAnsi="Times New Roman" w:cs="Times New Roman"/>
                <w:bCs/>
                <w:sz w:val="24"/>
                <w:szCs w:val="24"/>
              </w:rPr>
              <w:t>分</w:t>
            </w:r>
          </w:p>
        </w:tc>
      </w:tr>
    </w:tbl>
    <w:p w:rsidR="009F185C" w:rsidRDefault="00287051">
      <w:pPr>
        <w:spacing w:line="520" w:lineRule="exact"/>
        <w:textAlignment w:val="baseline"/>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四、直接入选</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符合下列条件之一，直接入选优质</w:t>
      </w:r>
      <w:r>
        <w:rPr>
          <w:rFonts w:ascii="Times New Roman" w:eastAsia="仿宋_GB2312" w:hAnsi="Times New Roman" w:cs="Times New Roman" w:hint="eastAsia"/>
          <w:sz w:val="32"/>
          <w:szCs w:val="32"/>
        </w:rPr>
        <w:t>工程勘察</w:t>
      </w:r>
      <w:r>
        <w:rPr>
          <w:rFonts w:ascii="Times New Roman" w:eastAsia="仿宋_GB2312" w:hAnsi="Times New Roman" w:cs="Times New Roman"/>
          <w:sz w:val="32"/>
          <w:szCs w:val="32"/>
        </w:rPr>
        <w:t>企业名单：</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新迁入（或新注册登记）的工程</w:t>
      </w:r>
      <w:r>
        <w:rPr>
          <w:rFonts w:ascii="Times New Roman" w:eastAsia="仿宋_GB2312" w:hAnsi="Times New Roman" w:cs="Times New Roman" w:hint="eastAsia"/>
          <w:sz w:val="32"/>
          <w:szCs w:val="32"/>
        </w:rPr>
        <w:t>勘察</w:t>
      </w:r>
      <w:r>
        <w:rPr>
          <w:rFonts w:ascii="Times New Roman" w:eastAsia="仿宋_GB2312" w:hAnsi="Times New Roman" w:cs="Times New Roman"/>
          <w:sz w:val="32"/>
          <w:szCs w:val="32"/>
        </w:rPr>
        <w:t>综合</w:t>
      </w:r>
      <w:r>
        <w:rPr>
          <w:rFonts w:ascii="Times New Roman" w:eastAsia="仿宋_GB2312" w:hAnsi="Times New Roman" w:cs="Times New Roman" w:hint="eastAsia"/>
          <w:sz w:val="32"/>
          <w:szCs w:val="32"/>
        </w:rPr>
        <w:t>甲级</w:t>
      </w:r>
      <w:r>
        <w:rPr>
          <w:rFonts w:ascii="Times New Roman" w:eastAsia="仿宋_GB2312" w:hAnsi="Times New Roman" w:cs="Times New Roman"/>
          <w:sz w:val="32"/>
          <w:szCs w:val="32"/>
        </w:rPr>
        <w:t>资质企业；</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承接项目获得</w:t>
      </w:r>
      <w:r>
        <w:rPr>
          <w:rFonts w:ascii="Times New Roman" w:eastAsia="仿宋_GB2312" w:hAnsi="Times New Roman" w:cs="Times New Roman" w:hint="eastAsia"/>
          <w:sz w:val="32"/>
          <w:szCs w:val="32"/>
        </w:rPr>
        <w:t>全国优秀工程</w:t>
      </w:r>
      <w:r>
        <w:rPr>
          <w:rFonts w:ascii="Times New Roman" w:eastAsia="仿宋_GB2312" w:hAnsi="Times New Roman" w:cs="Times New Roman"/>
          <w:sz w:val="32"/>
          <w:szCs w:val="32"/>
        </w:rPr>
        <w:t>勘察设计奖</w:t>
      </w:r>
      <w:r>
        <w:rPr>
          <w:rFonts w:ascii="Times New Roman" w:eastAsia="仿宋_GB2312" w:hAnsi="Times New Roman" w:cs="Times New Roman" w:hint="eastAsia"/>
          <w:sz w:val="32"/>
          <w:szCs w:val="32"/>
        </w:rPr>
        <w:t>中“工程勘察与岩土工程”类别奖项；</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hint="eastAsia"/>
          <w:sz w:val="32"/>
          <w:szCs w:val="32"/>
        </w:rPr>
        <w:t>企业承接项目，作为工程勘察单位参与申报并取得中国土木工程詹天佑奖；</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奖“工程勘察与岩土工程”类别一等</w:t>
      </w:r>
      <w:r>
        <w:rPr>
          <w:rFonts w:ascii="Times New Roman" w:eastAsia="仿宋_GB2312" w:hAnsi="Times New Roman" w:cs="Times New Roman"/>
          <w:sz w:val="32"/>
          <w:szCs w:val="32"/>
        </w:rPr>
        <w:t>奖的企业</w:t>
      </w:r>
      <w:r>
        <w:rPr>
          <w:rFonts w:ascii="Times New Roman" w:eastAsia="仿宋_GB2312" w:hAnsi="Times New Roman" w:cs="Times New Roman" w:hint="eastAsia"/>
          <w:sz w:val="32"/>
          <w:szCs w:val="32"/>
        </w:rPr>
        <w:t>；</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hint="eastAsia"/>
          <w:sz w:val="32"/>
          <w:szCs w:val="32"/>
        </w:rPr>
        <w:t>获得国家科技进步奖、省科技进</w:t>
      </w:r>
      <w:bookmarkStart w:id="0" w:name="_GoBack"/>
      <w:bookmarkEnd w:id="0"/>
      <w:r>
        <w:rPr>
          <w:rFonts w:ascii="Times New Roman" w:eastAsia="仿宋_GB2312" w:hAnsi="Times New Roman" w:cs="Times New Roman" w:hint="eastAsia"/>
          <w:sz w:val="32"/>
          <w:szCs w:val="32"/>
        </w:rPr>
        <w:t>步奖的企业。</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五、加分条件</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符合下列条件的企业，在综合评价结果基础上予以加分，各项累计加分值不超过</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分。</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列入广东省全过程工程咨询试点单位名单，加</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分；</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highlight w:val="yellow"/>
        </w:rPr>
        <w:t>企业</w:t>
      </w:r>
      <w:r>
        <w:rPr>
          <w:rFonts w:ascii="Times New Roman" w:eastAsia="仿宋_GB2312" w:hAnsi="Times New Roman" w:cs="Times New Roman"/>
          <w:sz w:val="32"/>
          <w:szCs w:val="32"/>
          <w:highlight w:val="yellow"/>
        </w:rPr>
        <w:t>获得高新技术企业称号</w:t>
      </w:r>
      <w:r>
        <w:rPr>
          <w:rFonts w:ascii="Times New Roman" w:eastAsia="仿宋_GB2312" w:hAnsi="Times New Roman" w:cs="Times New Roman" w:hint="eastAsia"/>
          <w:sz w:val="32"/>
          <w:szCs w:val="32"/>
          <w:highlight w:val="yellow"/>
        </w:rPr>
        <w:t>且在有效期内的</w:t>
      </w:r>
      <w:r>
        <w:rPr>
          <w:rFonts w:ascii="Times New Roman" w:eastAsia="仿宋_GB2312" w:hAnsi="Times New Roman" w:cs="Times New Roman"/>
          <w:sz w:val="32"/>
          <w:szCs w:val="32"/>
          <w:highlight w:val="yellow"/>
        </w:rPr>
        <w:t>，加</w:t>
      </w:r>
      <w:r>
        <w:rPr>
          <w:rFonts w:ascii="Times New Roman" w:eastAsia="仿宋_GB2312" w:hAnsi="Times New Roman" w:cs="Times New Roman" w:hint="eastAsia"/>
          <w:sz w:val="32"/>
          <w:szCs w:val="32"/>
          <w:highlight w:val="yellow"/>
        </w:rPr>
        <w:t>5</w:t>
      </w:r>
      <w:r>
        <w:rPr>
          <w:rFonts w:ascii="Times New Roman" w:eastAsia="仿宋_GB2312" w:hAnsi="Times New Roman" w:cs="Times New Roman"/>
          <w:sz w:val="32"/>
          <w:szCs w:val="32"/>
          <w:highlight w:val="yellow"/>
        </w:rPr>
        <w:t>分；</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奖中“工程勘察与岩土工程”类别二等</w:t>
      </w:r>
      <w:r>
        <w:rPr>
          <w:rFonts w:ascii="Times New Roman" w:eastAsia="仿宋_GB2312" w:hAnsi="Times New Roman" w:cs="Times New Roman"/>
          <w:sz w:val="32"/>
          <w:szCs w:val="32"/>
        </w:rPr>
        <w:t>奖</w:t>
      </w:r>
      <w:r>
        <w:rPr>
          <w:rFonts w:ascii="Times New Roman" w:eastAsia="仿宋_GB2312" w:hAnsi="Times New Roman" w:cs="Times New Roman" w:hint="eastAsia"/>
          <w:sz w:val="32"/>
          <w:szCs w:val="32"/>
        </w:rPr>
        <w:t>、广东省工程勘察设计行业协会科学技术奖二等奖及以上、作为勘察单位参评获得广东省土木工程詹天佑故乡杯奖的，每个加</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p>
    <w:p w:rsidR="009F185C" w:rsidRDefault="00287051">
      <w:pPr>
        <w:spacing w:line="520" w:lineRule="exact"/>
        <w:ind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奖“工程勘察与岩土工程”类三等奖、广东省工程勘察设计行业协会科学技术奖三等奖，每个加</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六、评价结果</w:t>
      </w:r>
    </w:p>
    <w:p w:rsidR="009F185C" w:rsidRDefault="00287051">
      <w:pPr>
        <w:spacing w:line="52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highlight w:val="yellow"/>
        </w:rPr>
        <w:t>按综合评价和加分项的总得分</w:t>
      </w:r>
      <w:r>
        <w:rPr>
          <w:rFonts w:ascii="Times New Roman" w:eastAsia="仿宋_GB2312" w:hAnsi="Times New Roman" w:cs="Times New Roman" w:hint="eastAsia"/>
          <w:color w:val="000000" w:themeColor="text1"/>
          <w:sz w:val="32"/>
          <w:szCs w:val="32"/>
          <w:highlight w:val="yellow"/>
        </w:rPr>
        <w:t>为</w:t>
      </w:r>
      <w:r>
        <w:rPr>
          <w:rFonts w:ascii="Times New Roman" w:eastAsia="仿宋_GB2312" w:hAnsi="Times New Roman" w:cs="Times New Roman" w:hint="eastAsia"/>
          <w:color w:val="000000" w:themeColor="text1"/>
          <w:sz w:val="32"/>
          <w:szCs w:val="32"/>
          <w:highlight w:val="yellow"/>
        </w:rPr>
        <w:t>70</w:t>
      </w:r>
      <w:r>
        <w:rPr>
          <w:rFonts w:ascii="Times New Roman" w:eastAsia="仿宋_GB2312" w:hAnsi="Times New Roman" w:cs="Times New Roman" w:hint="eastAsia"/>
          <w:color w:val="000000" w:themeColor="text1"/>
          <w:sz w:val="32"/>
          <w:szCs w:val="32"/>
          <w:highlight w:val="yellow"/>
        </w:rPr>
        <w:t>分以上</w:t>
      </w:r>
      <w:r>
        <w:rPr>
          <w:rFonts w:ascii="Times New Roman" w:eastAsia="仿宋_GB2312" w:hAnsi="Times New Roman" w:cs="Times New Roman"/>
          <w:color w:val="000000" w:themeColor="text1"/>
          <w:sz w:val="32"/>
          <w:szCs w:val="32"/>
          <w:highlight w:val="yellow"/>
        </w:rPr>
        <w:t>排序</w:t>
      </w:r>
      <w:r>
        <w:rPr>
          <w:rFonts w:ascii="Times New Roman" w:eastAsia="仿宋_GB2312" w:hAnsi="Times New Roman" w:cs="Times New Roman" w:hint="eastAsia"/>
          <w:color w:val="000000" w:themeColor="text1"/>
          <w:sz w:val="32"/>
          <w:szCs w:val="32"/>
          <w:highlight w:val="yellow"/>
        </w:rPr>
        <w:t>，包含</w:t>
      </w:r>
      <w:r>
        <w:rPr>
          <w:rFonts w:ascii="Times New Roman" w:eastAsia="仿宋_GB2312" w:hAnsi="Times New Roman" w:cs="Times New Roman"/>
          <w:color w:val="000000" w:themeColor="text1"/>
          <w:sz w:val="32"/>
          <w:szCs w:val="32"/>
          <w:highlight w:val="yellow"/>
        </w:rPr>
        <w:t>直接入选企业</w:t>
      </w:r>
      <w:r>
        <w:rPr>
          <w:rFonts w:ascii="Times New Roman" w:eastAsia="仿宋_GB2312" w:hAnsi="Times New Roman" w:cs="Times New Roman" w:hint="eastAsia"/>
          <w:color w:val="000000" w:themeColor="text1"/>
          <w:sz w:val="32"/>
          <w:szCs w:val="32"/>
          <w:highlight w:val="yellow"/>
        </w:rPr>
        <w:t>共</w:t>
      </w:r>
      <w:r>
        <w:rPr>
          <w:rFonts w:ascii="Times New Roman" w:eastAsia="仿宋_GB2312" w:hAnsi="Times New Roman" w:cs="Times New Roman"/>
          <w:color w:val="000000" w:themeColor="text1"/>
          <w:sz w:val="32"/>
          <w:szCs w:val="32"/>
          <w:highlight w:val="yellow"/>
        </w:rPr>
        <w:t>选取</w:t>
      </w:r>
      <w:r>
        <w:rPr>
          <w:rFonts w:ascii="Times New Roman" w:eastAsia="仿宋_GB2312" w:hAnsi="Times New Roman" w:cs="Times New Roman" w:hint="eastAsia"/>
          <w:color w:val="000000" w:themeColor="text1"/>
          <w:sz w:val="32"/>
          <w:szCs w:val="32"/>
          <w:highlight w:val="yellow"/>
        </w:rPr>
        <w:t>2</w:t>
      </w:r>
      <w:r>
        <w:rPr>
          <w:rFonts w:ascii="Times New Roman" w:eastAsia="仿宋_GB2312" w:hAnsi="Times New Roman" w:cs="Times New Roman"/>
          <w:color w:val="000000" w:themeColor="text1"/>
          <w:sz w:val="32"/>
          <w:szCs w:val="32"/>
          <w:highlight w:val="yellow"/>
        </w:rPr>
        <w:t>家（</w:t>
      </w:r>
      <w:r>
        <w:rPr>
          <w:rFonts w:ascii="Times New Roman" w:eastAsia="仿宋_GB2312" w:hAnsi="Times New Roman" w:cs="Times New Roman" w:hint="eastAsia"/>
          <w:color w:val="000000" w:themeColor="text1"/>
          <w:sz w:val="32"/>
          <w:szCs w:val="32"/>
          <w:highlight w:val="yellow"/>
        </w:rPr>
        <w:t>不足</w:t>
      </w:r>
      <w:r>
        <w:rPr>
          <w:rFonts w:ascii="Times New Roman" w:eastAsia="仿宋_GB2312" w:hAnsi="Times New Roman" w:cs="Times New Roman" w:hint="eastAsia"/>
          <w:color w:val="000000" w:themeColor="text1"/>
          <w:sz w:val="32"/>
          <w:szCs w:val="32"/>
          <w:highlight w:val="yellow"/>
        </w:rPr>
        <w:t>2</w:t>
      </w:r>
      <w:r>
        <w:rPr>
          <w:rFonts w:ascii="Times New Roman" w:eastAsia="仿宋_GB2312" w:hAnsi="Times New Roman" w:cs="Times New Roman" w:hint="eastAsia"/>
          <w:color w:val="000000" w:themeColor="text1"/>
          <w:sz w:val="32"/>
          <w:szCs w:val="32"/>
          <w:highlight w:val="yellow"/>
        </w:rPr>
        <w:t>家的按实际情况选取</w:t>
      </w:r>
      <w:r>
        <w:rPr>
          <w:rFonts w:ascii="Times New Roman" w:eastAsia="仿宋_GB2312" w:hAnsi="Times New Roman" w:cs="Times New Roman"/>
          <w:color w:val="000000" w:themeColor="text1"/>
          <w:sz w:val="32"/>
          <w:szCs w:val="32"/>
          <w:highlight w:val="yellow"/>
        </w:rPr>
        <w:t>），</w:t>
      </w:r>
      <w:r>
        <w:rPr>
          <w:rFonts w:ascii="Times New Roman" w:eastAsia="仿宋_GB2312" w:hAnsi="Times New Roman" w:cs="Times New Roman"/>
          <w:color w:val="000000" w:themeColor="text1"/>
          <w:sz w:val="32"/>
          <w:szCs w:val="32"/>
        </w:rPr>
        <w:t>由市住房城乡建设局发文予以公布。</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七、结果应用</w:t>
      </w:r>
    </w:p>
    <w:p w:rsidR="009F185C" w:rsidRDefault="00287051">
      <w:pPr>
        <w:spacing w:line="520" w:lineRule="exact"/>
        <w:ind w:firstLineChars="200" w:firstLine="640"/>
        <w:textAlignment w:val="baseline"/>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（一）提高优质企业美誉度和社会、行业知名度；</w:t>
      </w:r>
    </w:p>
    <w:p w:rsidR="009F185C" w:rsidRDefault="00287051">
      <w:pPr>
        <w:spacing w:line="520" w:lineRule="exact"/>
        <w:ind w:firstLineChars="200" w:firstLine="640"/>
        <w:textAlignment w:val="baseline"/>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（二）倡导国内外</w:t>
      </w:r>
      <w:r>
        <w:rPr>
          <w:rFonts w:ascii="Times New Roman" w:eastAsia="仿宋_GB2312" w:hAnsi="Times New Roman" w:cs="Times New Roman" w:hint="eastAsia"/>
          <w:bCs/>
          <w:sz w:val="32"/>
          <w:szCs w:val="32"/>
        </w:rPr>
        <w:t>及</w:t>
      </w:r>
      <w:r>
        <w:rPr>
          <w:rFonts w:ascii="Times New Roman" w:eastAsia="仿宋_GB2312" w:hAnsi="Times New Roman" w:cs="Times New Roman"/>
          <w:bCs/>
          <w:sz w:val="32"/>
          <w:szCs w:val="32"/>
        </w:rPr>
        <w:t>优秀设计团队与优质</w:t>
      </w:r>
      <w:r>
        <w:rPr>
          <w:rFonts w:ascii="Times New Roman" w:eastAsia="仿宋_GB2312" w:hAnsi="Times New Roman" w:cs="Times New Roman" w:hint="eastAsia"/>
          <w:bCs/>
          <w:sz w:val="32"/>
          <w:szCs w:val="32"/>
        </w:rPr>
        <w:t>工程勘察</w:t>
      </w:r>
      <w:r>
        <w:rPr>
          <w:rFonts w:ascii="Times New Roman" w:eastAsia="仿宋_GB2312" w:hAnsi="Times New Roman" w:cs="Times New Roman"/>
          <w:bCs/>
          <w:sz w:val="32"/>
          <w:szCs w:val="32"/>
        </w:rPr>
        <w:t>企业合作，促进优势互补，强强联手助力东莞城市建设；</w:t>
      </w:r>
    </w:p>
    <w:p w:rsidR="009F185C" w:rsidRDefault="00287051">
      <w:pPr>
        <w:spacing w:line="520" w:lineRule="exact"/>
        <w:ind w:firstLineChars="200" w:firstLine="640"/>
        <w:textAlignment w:val="baseline"/>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）利用东莞建设网、南方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东莞住建频道开展宣传推介；</w:t>
      </w:r>
    </w:p>
    <w:p w:rsidR="009F185C" w:rsidRDefault="00287051">
      <w:pPr>
        <w:spacing w:line="52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）对优质企业实行精准服务支持。</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八、退出机制</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一票否决条款：造成较大及以上质量事故，被市住建局行政处罚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发生严重违法、失信，信用分值清零等行为。</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经查实，评选期间的参选勘察企业或入选名单的优质勘察企业发生一票否决行为的，则取消其评选资格或从入选名单中移除。</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九、评价指标数据来源</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企业资质数据从住建部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w:t>
      </w:r>
      <w:r>
        <w:rPr>
          <w:rFonts w:ascii="Times New Roman" w:eastAsia="仿宋_GB2312" w:hAnsi="Times New Roman" w:cs="Times New Roman" w:hint="eastAsia"/>
          <w:sz w:val="32"/>
          <w:szCs w:val="32"/>
        </w:rPr>
        <w:t>建筑</w:t>
      </w:r>
      <w:r>
        <w:rPr>
          <w:rFonts w:ascii="Times New Roman" w:eastAsia="仿宋_GB2312" w:hAnsi="Times New Roman" w:cs="Times New Roman"/>
          <w:sz w:val="32"/>
          <w:szCs w:val="32"/>
        </w:rPr>
        <w:t>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和省住房城乡建设厅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粤建网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三库一平台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税收贡献数据由市住房城乡建设局向市税务局获取</w:t>
      </w:r>
      <w:r>
        <w:rPr>
          <w:rFonts w:ascii="Times New Roman" w:eastAsia="仿宋_GB2312" w:hAnsi="Times New Roman" w:cs="Times New Roman" w:hint="eastAsia"/>
          <w:sz w:val="32"/>
          <w:szCs w:val="32"/>
        </w:rPr>
        <w:t>；</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企业信用分值排名从市住房城乡建设局建设工程企业信用管理系统获取</w:t>
      </w:r>
      <w:r>
        <w:rPr>
          <w:rFonts w:ascii="Times New Roman" w:eastAsia="仿宋_GB2312" w:hAnsi="Times New Roman" w:cs="Times New Roman" w:hint="eastAsia"/>
          <w:sz w:val="32"/>
          <w:szCs w:val="32"/>
        </w:rPr>
        <w:t>；</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量化评价排名从上年度全市住房城乡建设工作量化评价结果获取</w:t>
      </w:r>
      <w:r>
        <w:rPr>
          <w:rFonts w:ascii="Times New Roman" w:eastAsia="仿宋_GB2312" w:hAnsi="Times New Roman" w:cs="Times New Roman" w:hint="eastAsia"/>
          <w:sz w:val="32"/>
          <w:szCs w:val="32"/>
        </w:rPr>
        <w:t>；</w:t>
      </w:r>
    </w:p>
    <w:p w:rsidR="009F185C" w:rsidRDefault="00287051">
      <w:pPr>
        <w:spacing w:line="520"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hint="eastAsia"/>
          <w:sz w:val="32"/>
          <w:szCs w:val="32"/>
        </w:rPr>
        <w:t>情况中社保和职称</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企业申报提供相关佐证材料</w:t>
      </w:r>
      <w:r>
        <w:rPr>
          <w:rFonts w:ascii="Times New Roman" w:eastAsia="仿宋_GB2312" w:hAnsi="Times New Roman" w:cs="Times New Roman" w:hint="eastAsia"/>
          <w:sz w:val="32"/>
          <w:szCs w:val="32"/>
        </w:rPr>
        <w:t>及查询途径；</w:t>
      </w:r>
      <w:r>
        <w:rPr>
          <w:rFonts w:ascii="Times New Roman" w:eastAsia="仿宋_GB2312" w:hAnsi="Times New Roman" w:cs="Times New Roman"/>
          <w:sz w:val="32"/>
          <w:szCs w:val="32"/>
        </w:rPr>
        <w:t>注册人员情况从</w:t>
      </w:r>
      <w:r>
        <w:rPr>
          <w:rFonts w:ascii="Times New Roman" w:eastAsia="仿宋_GB2312" w:hAnsi="Times New Roman" w:cs="Times New Roman" w:hint="eastAsia"/>
          <w:sz w:val="32"/>
          <w:szCs w:val="32"/>
        </w:rPr>
        <w:t>住建部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全国建筑市场监管公共服务平台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9F185C" w:rsidRDefault="00287051">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六</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加分条件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中相关奖项、表彰等情况，采取</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提供和市住房城乡建设局核实相结合的方式确定。</w:t>
      </w:r>
    </w:p>
    <w:p w:rsidR="009F185C" w:rsidRDefault="00287051">
      <w:pPr>
        <w:spacing w:line="520" w:lineRule="exact"/>
        <w:ind w:firstLine="640"/>
        <w:textAlignment w:val="baseline"/>
        <w:rPr>
          <w:rFonts w:ascii="黑体" w:eastAsia="黑体" w:hAnsi="黑体" w:cs="黑体"/>
          <w:sz w:val="32"/>
          <w:szCs w:val="32"/>
        </w:rPr>
      </w:pPr>
      <w:r>
        <w:rPr>
          <w:rFonts w:ascii="黑体" w:eastAsia="黑体" w:hAnsi="黑体" w:cs="黑体" w:hint="eastAsia"/>
          <w:sz w:val="32"/>
          <w:szCs w:val="32"/>
        </w:rPr>
        <w:t>十、评价周期</w:t>
      </w:r>
    </w:p>
    <w:p w:rsidR="009F185C" w:rsidRDefault="00287051">
      <w:pPr>
        <w:spacing w:line="52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highlight w:val="yellow"/>
        </w:rPr>
        <w:t>每</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年评价一次，原则上在上</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年度的税收数据和量化</w:t>
      </w:r>
      <w:r>
        <w:rPr>
          <w:rFonts w:ascii="Times New Roman" w:eastAsia="仿宋_GB2312" w:hAnsi="Times New Roman" w:cs="Times New Roman"/>
          <w:bCs/>
          <w:sz w:val="32"/>
          <w:szCs w:val="32"/>
          <w:highlight w:val="yellow"/>
        </w:rPr>
        <w:lastRenderedPageBreak/>
        <w:t>评价结果产生后开展。评价结果除异常退出企业外，至下一</w:t>
      </w:r>
      <w:r>
        <w:rPr>
          <w:rFonts w:ascii="Times New Roman" w:eastAsia="仿宋_GB2312" w:hAnsi="Times New Roman" w:cs="Times New Roman" w:hint="eastAsia"/>
          <w:bCs/>
          <w:sz w:val="32"/>
          <w:szCs w:val="32"/>
          <w:highlight w:val="yellow"/>
        </w:rPr>
        <w:t>评选</w:t>
      </w:r>
      <w:r>
        <w:rPr>
          <w:rFonts w:ascii="Times New Roman" w:eastAsia="仿宋_GB2312" w:hAnsi="Times New Roman" w:cs="Times New Roman"/>
          <w:bCs/>
          <w:sz w:val="32"/>
          <w:szCs w:val="32"/>
          <w:highlight w:val="yellow"/>
        </w:rPr>
        <w:t>年度评价结果产生前有效。</w:t>
      </w:r>
    </w:p>
    <w:sectPr w:rsidR="009F185C" w:rsidSect="009F18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51" w:rsidRDefault="00287051" w:rsidP="009F185C">
      <w:r>
        <w:separator/>
      </w:r>
    </w:p>
  </w:endnote>
  <w:endnote w:type="continuationSeparator" w:id="0">
    <w:p w:rsidR="00287051" w:rsidRDefault="00287051" w:rsidP="009F1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仿宋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5C" w:rsidRDefault="009F185C">
    <w:pPr>
      <w:pStyle w:val="a3"/>
    </w:pPr>
    <w:r>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" filled="f" stroked="f" strokeweight=".5pt">
          <v:textbox style="mso-fit-shape-to-text:t" inset="0,0,0,0">
            <w:txbxContent>
              <w:p w:rsidR="009F185C" w:rsidRDefault="009F185C">
                <w:pPr>
                  <w:pStyle w:val="a3"/>
                </w:pPr>
                <w:r>
                  <w:fldChar w:fldCharType="begin"/>
                </w:r>
                <w:r w:rsidR="00287051">
                  <w:instrText xml:space="preserve"> PAGE  \* MERGEFORMAT </w:instrText>
                </w:r>
                <w:r>
                  <w:fldChar w:fldCharType="separate"/>
                </w:r>
                <w:r w:rsidR="006C7480">
                  <w:rPr>
                    <w:noProof/>
                  </w:rPr>
                  <w:t>3</w:t>
                </w:r>
                <w:r>
                  <w:fldChar w:fldCharType="end"/>
                </w:r>
              </w:p>
            </w:txbxContent>
          </v:textbox>
          <w10:wrap anchorx="margin"/>
        </v:shape>
      </w:pict>
    </w:r>
    <w:r w:rsidR="00287051">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51" w:rsidRDefault="00287051" w:rsidP="009F185C">
      <w:r>
        <w:separator/>
      </w:r>
    </w:p>
  </w:footnote>
  <w:footnote w:type="continuationSeparator" w:id="0">
    <w:p w:rsidR="00287051" w:rsidRDefault="00287051" w:rsidP="009F1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kyNzkxYWZiYWViYmU2ZjQ3ODVhMzU3NDAwNWEwNTMifQ=="/>
  </w:docVars>
  <w:rsids>
    <w:rsidRoot w:val="00B917CF"/>
    <w:rsid w:val="8D7F1C1E"/>
    <w:rsid w:val="9D4B5CFF"/>
    <w:rsid w:val="ABF514C7"/>
    <w:rsid w:val="AEF9F4E2"/>
    <w:rsid w:val="B3EBC1A4"/>
    <w:rsid w:val="B8EFF78A"/>
    <w:rsid w:val="BA7B23C6"/>
    <w:rsid w:val="CBABC21E"/>
    <w:rsid w:val="DFDBA5F7"/>
    <w:rsid w:val="DFFB13D0"/>
    <w:rsid w:val="E77FB794"/>
    <w:rsid w:val="E7EFF034"/>
    <w:rsid w:val="ECEFE2ED"/>
    <w:rsid w:val="EF7F3D7F"/>
    <w:rsid w:val="EFBFD179"/>
    <w:rsid w:val="F7AB0D26"/>
    <w:rsid w:val="F7FDCF63"/>
    <w:rsid w:val="F7FEB32B"/>
    <w:rsid w:val="FB3FDB5C"/>
    <w:rsid w:val="FB752F5F"/>
    <w:rsid w:val="FBAF0C0F"/>
    <w:rsid w:val="FBF676DA"/>
    <w:rsid w:val="FBF88387"/>
    <w:rsid w:val="FDFFF5EF"/>
    <w:rsid w:val="FE734873"/>
    <w:rsid w:val="FF5FF048"/>
    <w:rsid w:val="FF9FE2A1"/>
    <w:rsid w:val="FFBC5566"/>
    <w:rsid w:val="FFFF0663"/>
    <w:rsid w:val="00000050"/>
    <w:rsid w:val="00007FB1"/>
    <w:rsid w:val="00042078"/>
    <w:rsid w:val="00080620"/>
    <w:rsid w:val="00087B9D"/>
    <w:rsid w:val="000958B6"/>
    <w:rsid w:val="000B247E"/>
    <w:rsid w:val="000B7A3C"/>
    <w:rsid w:val="000C7EB4"/>
    <w:rsid w:val="000D600C"/>
    <w:rsid w:val="000D6E53"/>
    <w:rsid w:val="000E4AE3"/>
    <w:rsid w:val="000E5C04"/>
    <w:rsid w:val="001169B5"/>
    <w:rsid w:val="00124D7B"/>
    <w:rsid w:val="00140742"/>
    <w:rsid w:val="00146DFF"/>
    <w:rsid w:val="00165689"/>
    <w:rsid w:val="00182D1E"/>
    <w:rsid w:val="00195DC7"/>
    <w:rsid w:val="001C0A6B"/>
    <w:rsid w:val="001D24F2"/>
    <w:rsid w:val="001E5847"/>
    <w:rsid w:val="001F5351"/>
    <w:rsid w:val="0023154C"/>
    <w:rsid w:val="00262736"/>
    <w:rsid w:val="00266D3C"/>
    <w:rsid w:val="00275A53"/>
    <w:rsid w:val="00287051"/>
    <w:rsid w:val="00295F1C"/>
    <w:rsid w:val="002A4D5C"/>
    <w:rsid w:val="002C6340"/>
    <w:rsid w:val="002D4543"/>
    <w:rsid w:val="002E0464"/>
    <w:rsid w:val="002E78B2"/>
    <w:rsid w:val="003110C0"/>
    <w:rsid w:val="003268F6"/>
    <w:rsid w:val="0033730C"/>
    <w:rsid w:val="00363549"/>
    <w:rsid w:val="003660E3"/>
    <w:rsid w:val="00390AFF"/>
    <w:rsid w:val="0039359F"/>
    <w:rsid w:val="003B2790"/>
    <w:rsid w:val="003E42A9"/>
    <w:rsid w:val="00433A79"/>
    <w:rsid w:val="00433FC1"/>
    <w:rsid w:val="00460F2A"/>
    <w:rsid w:val="0046742D"/>
    <w:rsid w:val="00484299"/>
    <w:rsid w:val="004849C1"/>
    <w:rsid w:val="004A2DD6"/>
    <w:rsid w:val="004A7303"/>
    <w:rsid w:val="004A779A"/>
    <w:rsid w:val="004B1952"/>
    <w:rsid w:val="004E2C5D"/>
    <w:rsid w:val="004F0A7E"/>
    <w:rsid w:val="004F441A"/>
    <w:rsid w:val="004F4AB4"/>
    <w:rsid w:val="00507777"/>
    <w:rsid w:val="00511FEA"/>
    <w:rsid w:val="00517B20"/>
    <w:rsid w:val="00565C56"/>
    <w:rsid w:val="00571121"/>
    <w:rsid w:val="00574C82"/>
    <w:rsid w:val="00587455"/>
    <w:rsid w:val="00590C77"/>
    <w:rsid w:val="005A4240"/>
    <w:rsid w:val="005B05EF"/>
    <w:rsid w:val="005C1A5E"/>
    <w:rsid w:val="005F5C14"/>
    <w:rsid w:val="006014E2"/>
    <w:rsid w:val="00617CCA"/>
    <w:rsid w:val="006323FC"/>
    <w:rsid w:val="00662571"/>
    <w:rsid w:val="00662FB4"/>
    <w:rsid w:val="00683A90"/>
    <w:rsid w:val="006B1EBC"/>
    <w:rsid w:val="006B5D9D"/>
    <w:rsid w:val="006C0BE3"/>
    <w:rsid w:val="006C7480"/>
    <w:rsid w:val="006F0934"/>
    <w:rsid w:val="00712F33"/>
    <w:rsid w:val="0071701A"/>
    <w:rsid w:val="00722B0A"/>
    <w:rsid w:val="00734F5A"/>
    <w:rsid w:val="00742A91"/>
    <w:rsid w:val="007A5677"/>
    <w:rsid w:val="007B60FE"/>
    <w:rsid w:val="007E7A99"/>
    <w:rsid w:val="0080022E"/>
    <w:rsid w:val="00806661"/>
    <w:rsid w:val="0080669E"/>
    <w:rsid w:val="008211A1"/>
    <w:rsid w:val="0082552A"/>
    <w:rsid w:val="008450D8"/>
    <w:rsid w:val="00853249"/>
    <w:rsid w:val="00873AF8"/>
    <w:rsid w:val="00877A7D"/>
    <w:rsid w:val="0090318E"/>
    <w:rsid w:val="00930358"/>
    <w:rsid w:val="00931FA1"/>
    <w:rsid w:val="0099409D"/>
    <w:rsid w:val="009971E6"/>
    <w:rsid w:val="00997C3B"/>
    <w:rsid w:val="009E0096"/>
    <w:rsid w:val="009F185C"/>
    <w:rsid w:val="00A039E9"/>
    <w:rsid w:val="00A04E1E"/>
    <w:rsid w:val="00A1287B"/>
    <w:rsid w:val="00A92031"/>
    <w:rsid w:val="00AA3E9C"/>
    <w:rsid w:val="00AB7B43"/>
    <w:rsid w:val="00AD0DCC"/>
    <w:rsid w:val="00AF3936"/>
    <w:rsid w:val="00B07746"/>
    <w:rsid w:val="00B12340"/>
    <w:rsid w:val="00B20D74"/>
    <w:rsid w:val="00B21EF3"/>
    <w:rsid w:val="00B263DC"/>
    <w:rsid w:val="00B917CF"/>
    <w:rsid w:val="00BD365A"/>
    <w:rsid w:val="00C01157"/>
    <w:rsid w:val="00C123A8"/>
    <w:rsid w:val="00C64F4B"/>
    <w:rsid w:val="00C7130B"/>
    <w:rsid w:val="00C74647"/>
    <w:rsid w:val="00C94EA8"/>
    <w:rsid w:val="00C957CB"/>
    <w:rsid w:val="00CD47C8"/>
    <w:rsid w:val="00CF1518"/>
    <w:rsid w:val="00CF6514"/>
    <w:rsid w:val="00D025D8"/>
    <w:rsid w:val="00D0698D"/>
    <w:rsid w:val="00D2206B"/>
    <w:rsid w:val="00D22887"/>
    <w:rsid w:val="00D73F3D"/>
    <w:rsid w:val="00D75992"/>
    <w:rsid w:val="00D86196"/>
    <w:rsid w:val="00DA1E37"/>
    <w:rsid w:val="00DA650B"/>
    <w:rsid w:val="00DA717A"/>
    <w:rsid w:val="00DE152C"/>
    <w:rsid w:val="00DE2724"/>
    <w:rsid w:val="00E14D91"/>
    <w:rsid w:val="00E2327A"/>
    <w:rsid w:val="00E26183"/>
    <w:rsid w:val="00E32FA8"/>
    <w:rsid w:val="00E406B4"/>
    <w:rsid w:val="00E44C63"/>
    <w:rsid w:val="00E541A5"/>
    <w:rsid w:val="00E67CDB"/>
    <w:rsid w:val="00E92194"/>
    <w:rsid w:val="00EB5821"/>
    <w:rsid w:val="00EC4873"/>
    <w:rsid w:val="00ED4230"/>
    <w:rsid w:val="00EF3A0A"/>
    <w:rsid w:val="00EF78F9"/>
    <w:rsid w:val="00F025A8"/>
    <w:rsid w:val="00F46716"/>
    <w:rsid w:val="00F50711"/>
    <w:rsid w:val="00F50B59"/>
    <w:rsid w:val="00F54A0C"/>
    <w:rsid w:val="00F7538D"/>
    <w:rsid w:val="00F803E2"/>
    <w:rsid w:val="00F95BAF"/>
    <w:rsid w:val="00FA5EAB"/>
    <w:rsid w:val="00FB1960"/>
    <w:rsid w:val="00FD7D98"/>
    <w:rsid w:val="00FD7DBF"/>
    <w:rsid w:val="00FF0BEC"/>
    <w:rsid w:val="00FF526F"/>
    <w:rsid w:val="0D4D55BD"/>
    <w:rsid w:val="0FF376CF"/>
    <w:rsid w:val="177326D9"/>
    <w:rsid w:val="2BF377CB"/>
    <w:rsid w:val="33D682CF"/>
    <w:rsid w:val="37E330D2"/>
    <w:rsid w:val="3A7F8BCD"/>
    <w:rsid w:val="3DBE0C0B"/>
    <w:rsid w:val="3F7A6B81"/>
    <w:rsid w:val="3F7FAFB6"/>
    <w:rsid w:val="3FFFF61B"/>
    <w:rsid w:val="4C9FBC61"/>
    <w:rsid w:val="55DE9DD1"/>
    <w:rsid w:val="5634BBB4"/>
    <w:rsid w:val="5C4F77AA"/>
    <w:rsid w:val="5EFFF7C9"/>
    <w:rsid w:val="62917095"/>
    <w:rsid w:val="6B613397"/>
    <w:rsid w:val="6E7E6335"/>
    <w:rsid w:val="6FEF60AC"/>
    <w:rsid w:val="7366E8D3"/>
    <w:rsid w:val="73AF34F0"/>
    <w:rsid w:val="76F382B3"/>
    <w:rsid w:val="77DF8008"/>
    <w:rsid w:val="7935693B"/>
    <w:rsid w:val="79EE5D8D"/>
    <w:rsid w:val="7BB9B0B4"/>
    <w:rsid w:val="7BFF2DD8"/>
    <w:rsid w:val="7CCF0BE2"/>
    <w:rsid w:val="7CDCA2FF"/>
    <w:rsid w:val="7D5D57E2"/>
    <w:rsid w:val="7D5D9CD1"/>
    <w:rsid w:val="7D7B1690"/>
    <w:rsid w:val="7DBF95E4"/>
    <w:rsid w:val="7E2B7E42"/>
    <w:rsid w:val="7E6C20B5"/>
    <w:rsid w:val="7E778110"/>
    <w:rsid w:val="7EEF7FD6"/>
    <w:rsid w:val="7F4F9FA4"/>
    <w:rsid w:val="7F77384C"/>
    <w:rsid w:val="7FCFA437"/>
    <w:rsid w:val="7FD7B00A"/>
    <w:rsid w:val="7FFD6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5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F185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9F185C"/>
    <w:pPr>
      <w:tabs>
        <w:tab w:val="center" w:pos="4153"/>
        <w:tab w:val="right" w:pos="8306"/>
      </w:tabs>
      <w:snapToGrid w:val="0"/>
      <w:jc w:val="left"/>
    </w:pPr>
    <w:rPr>
      <w:sz w:val="18"/>
    </w:rPr>
  </w:style>
  <w:style w:type="paragraph" w:styleId="a4">
    <w:name w:val="header"/>
    <w:basedOn w:val="a"/>
    <w:uiPriority w:val="99"/>
    <w:unhideWhenUsed/>
    <w:qFormat/>
    <w:rsid w:val="009F18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9F185C"/>
    <w:rPr>
      <w:b/>
    </w:rPr>
  </w:style>
  <w:style w:type="character" w:styleId="a6">
    <w:name w:val="Hyperlink"/>
    <w:basedOn w:val="a0"/>
    <w:uiPriority w:val="99"/>
    <w:semiHidden/>
    <w:unhideWhenUsed/>
    <w:qFormat/>
    <w:rsid w:val="009F185C"/>
    <w:rPr>
      <w:color w:val="0000FF"/>
      <w:u w:val="single"/>
    </w:rPr>
  </w:style>
  <w:style w:type="paragraph" w:styleId="a7">
    <w:name w:val="List Paragraph"/>
    <w:basedOn w:val="a"/>
    <w:uiPriority w:val="34"/>
    <w:qFormat/>
    <w:rsid w:val="009F185C"/>
    <w:pPr>
      <w:ind w:firstLineChars="200" w:firstLine="420"/>
    </w:pPr>
  </w:style>
  <w:style w:type="character" w:customStyle="1" w:styleId="font01">
    <w:name w:val="font01"/>
    <w:qFormat/>
    <w:rsid w:val="009F185C"/>
    <w:rPr>
      <w:rFonts w:ascii="黑体" w:eastAsia="黑体" w:hAnsi="宋体" w:cs="黑体" w:hint="eastAsia"/>
      <w:color w:val="000000"/>
      <w:sz w:val="24"/>
      <w:szCs w:val="24"/>
      <w:u w:val="none"/>
    </w:rPr>
  </w:style>
  <w:style w:type="character" w:customStyle="1" w:styleId="font31">
    <w:name w:val="font31"/>
    <w:qFormat/>
    <w:rsid w:val="009F185C"/>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2189</Characters>
  <Application>Microsoft Office Word</Application>
  <DocSecurity>0</DocSecurity>
  <Lines>18</Lines>
  <Paragraphs>5</Paragraphs>
  <ScaleCrop>false</ScaleCrop>
  <Company>Chinese ORG</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y</dc:creator>
  <cp:lastModifiedBy>杨彩玉</cp:lastModifiedBy>
  <cp:revision>4</cp:revision>
  <cp:lastPrinted>2022-11-17T11:13:00Z</cp:lastPrinted>
  <dcterms:created xsi:type="dcterms:W3CDTF">2023-04-13T09:19:00Z</dcterms:created>
  <dcterms:modified xsi:type="dcterms:W3CDTF">2023-04-14T01:59:00Z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F04EF6E149E64479BAD10327DD6CAE43</vt:lpwstr>
  </property>
</Properties>
</file>