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z w:val="44"/>
          <w:szCs w:val="44"/>
          <w:lang w:val="en-US" w:eastAsia="zh-CN"/>
        </w:rPr>
        <w:t>对外征求意见采纳情况反馈表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744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74" w:type="dxa"/>
            <w:noWrap w:val="0"/>
            <w:vAlign w:val="top"/>
          </w:tcPr>
          <w:p>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单位/个人</w:t>
            </w:r>
          </w:p>
        </w:tc>
        <w:tc>
          <w:tcPr>
            <w:tcW w:w="7440" w:type="dxa"/>
            <w:noWrap w:val="0"/>
            <w:vAlign w:val="top"/>
          </w:tcPr>
          <w:p>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具体意见</w:t>
            </w:r>
          </w:p>
        </w:tc>
        <w:tc>
          <w:tcPr>
            <w:tcW w:w="4560" w:type="dxa"/>
            <w:noWrap w:val="0"/>
            <w:vAlign w:val="top"/>
          </w:tcPr>
          <w:p>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xiaodingding0122 </w:t>
            </w:r>
          </w:p>
          <w:p>
            <w:pPr>
              <w:rPr>
                <w:rFonts w:hint="default" w:ascii="Times New Roman" w:hAnsi="Times New Roman" w:eastAsia="仿宋_GB2312" w:cs="Times New Roman"/>
                <w:b w:val="0"/>
                <w:bCs w:val="0"/>
                <w:sz w:val="24"/>
                <w:szCs w:val="24"/>
                <w:vertAlign w:val="baseline"/>
                <w:lang w:val="en-US" w:eastAsia="zh-CN"/>
              </w:rPr>
            </w:pPr>
          </w:p>
        </w:tc>
        <w:tc>
          <w:tcPr>
            <w:tcW w:w="7440"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针对“第九条”提及“信用等级”的划分</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疑问：100分以上即为A级太过泛滥，市场竞争中达不到公平择优的目的。目前在莞备案企业（以建筑和市政为例）一共约2900家企业，其中100分或以上的就有2800家企业，占95%以上均是A或B级企业。</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bCs/>
                <w:sz w:val="24"/>
                <w:szCs w:val="24"/>
                <w:u w:val="none"/>
              </w:rPr>
            </w:pPr>
            <w:r>
              <w:rPr>
                <w:rFonts w:hint="default" w:ascii="Times New Roman" w:hAnsi="Times New Roman" w:eastAsia="仿宋_GB2312" w:cs="Times New Roman"/>
                <w:b/>
                <w:bCs/>
                <w:sz w:val="24"/>
                <w:szCs w:val="24"/>
                <w:u w:val="none"/>
              </w:rPr>
              <w:t>建议：维持现用信用等级分级制度。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针对“第十七条”中 “对在莞开展业务的建设工程企业履约行为”的监管</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疑问：正常情况下，一般建设工程项目的人材机费用约占总造价的70%以上，还有增值税及附加费约9.5%，但在招标投标过程中屡有一些投标单位投标报价下浮50%以上、甚至高达80%~90%，严重存在恶意低价竞标嫌疑，扰乱了市场环境。</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bCs/>
                <w:sz w:val="24"/>
                <w:szCs w:val="24"/>
                <w:u w:val="none"/>
              </w:rPr>
              <w:t>建议：对招标投标过程中恶意低价竞争扰乱市场的投标人，是否也可实行“将其信用分值清零”？</w:t>
            </w:r>
          </w:p>
        </w:tc>
        <w:tc>
          <w:tcPr>
            <w:tcW w:w="456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采纳。我局现行的建设工程企业信用等级即将企业信用分值总分100分（不含100分）以上定为A级。该条款一直在沿用，并未在本次修订中作出修改。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部分采纳。投标人根据项目特点、建设内容和自身投资成本、公司经营情况对投标项目实施报价，并对其报价负责。投标人报价应当根据实际情况予以甄别区分。根据《中华人民共和国招标投标法实施条例》第三十九条及有关释义，投标人协商抬高、压低报价属于串通投标行为。本动态管理办法中已规定对串通投标行为实施相应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北京市市政工程设计研究总院有限公司</w:t>
            </w:r>
          </w:p>
          <w:p>
            <w:pPr>
              <w:rPr>
                <w:rFonts w:hint="default" w:ascii="Times New Roman" w:hAnsi="Times New Roman" w:eastAsia="仿宋_GB2312" w:cs="Times New Roman"/>
                <w:b w:val="0"/>
                <w:bCs w:val="0"/>
                <w:kern w:val="2"/>
                <w:sz w:val="24"/>
                <w:szCs w:val="24"/>
                <w:vertAlign w:val="baseline"/>
                <w:lang w:val="en-US" w:eastAsia="zh-CN" w:bidi="ar-SA"/>
              </w:rPr>
            </w:pP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在P5页，第十六条“…资产和主要人员是否满足资质标准条件和市场行为进行定期或不定期核查”：</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反馈意见：建议进一步明确核查的方式，我司建议优先考虑采用人脸识别或远程视频系统。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0"/>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反馈意见释义：相比十几年前，数字化技术目前已趋于完善，在各行各业中广泛运用，人脸识别已纳入金融系统核验方式，视频会议更是成为疫情期间重要的交流途径。采用上述核查方式，一是切实履行了党中央、国务院倡导“减轻企业负担”的承诺，二是规避了特殊期间（如疫情），人员扎堆聚集的风险。</w:t>
            </w:r>
          </w:p>
        </w:tc>
        <w:tc>
          <w:tcPr>
            <w:tcW w:w="45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eastAsia" w:ascii="Times New Roman" w:hAnsi="Times New Roman" w:eastAsia="仿宋_GB2312" w:cs="Times New Roman"/>
                <w:b w:val="0"/>
                <w:bCs w:val="0"/>
                <w:sz w:val="24"/>
                <w:szCs w:val="24"/>
                <w:vertAlign w:val="baseline"/>
                <w:lang w:val="en-US" w:eastAsia="zh-CN"/>
              </w:rPr>
              <w:t>不采纳。目前，动态核查是以企业提交书面材料为主要核查方式。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Times New Roman" w:hAnsi="Times New Roman" w:eastAsia="仿宋_GB2312" w:cs="Times New Roman"/>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在征求意见时限</w:t>
            </w:r>
            <w:bookmarkStart w:id="0" w:name="_GoBack"/>
            <w:bookmarkEnd w:id="0"/>
            <w:r>
              <w:rPr>
                <w:rFonts w:hint="eastAsia" w:ascii="Times New Roman" w:hAnsi="Times New Roman" w:eastAsia="仿宋_GB2312" w:cs="Times New Roman"/>
                <w:b w:val="0"/>
                <w:bCs w:val="0"/>
                <w:sz w:val="24"/>
                <w:szCs w:val="24"/>
                <w:vertAlign w:val="baseline"/>
                <w:lang w:val="en-US" w:eastAsia="zh-CN"/>
              </w:rPr>
              <w:t>内，并未收到其他单位或个人的意见或建议。</w:t>
            </w:r>
          </w:p>
        </w:tc>
      </w:tr>
    </w:tbl>
    <w:p>
      <w:pPr>
        <w:rPr>
          <w:rFonts w:hint="default"/>
          <w:lang w:val="en-US" w:eastAsia="zh-CN"/>
        </w:rPr>
      </w:pPr>
    </w:p>
    <w:sectPr>
      <w:pgSz w:w="16838" w:h="11906" w:orient="landscape"/>
      <w:pgMar w:top="1576" w:right="1440" w:bottom="163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CF18"/>
    <w:multiLevelType w:val="singleLevel"/>
    <w:tmpl w:val="A71DCF18"/>
    <w:lvl w:ilvl="0" w:tentative="0">
      <w:start w:val="1"/>
      <w:numFmt w:val="chineseCounting"/>
      <w:suff w:val="nothing"/>
      <w:lvlText w:val="%1、"/>
      <w:lvlJc w:val="left"/>
      <w:rPr>
        <w:rFonts w:hint="eastAsia"/>
        <w:lang w:val="en-US"/>
      </w:rPr>
    </w:lvl>
  </w:abstractNum>
  <w:abstractNum w:abstractNumId="1">
    <w:nsid w:val="CFBE6AF1"/>
    <w:multiLevelType w:val="singleLevel"/>
    <w:tmpl w:val="CFBE6AF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7E0B4"/>
    <w:rsid w:val="278DF0AE"/>
    <w:rsid w:val="39FC8E4A"/>
    <w:rsid w:val="3EAB0813"/>
    <w:rsid w:val="5CE7A32D"/>
    <w:rsid w:val="6BFF34FB"/>
    <w:rsid w:val="771D3913"/>
    <w:rsid w:val="77EF4B4C"/>
    <w:rsid w:val="79770202"/>
    <w:rsid w:val="BF2FB018"/>
    <w:rsid w:val="F76F1DAF"/>
    <w:rsid w:val="FCF9C98A"/>
    <w:rsid w:val="FEFFD286"/>
    <w:rsid w:val="FFB95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 </cp:lastModifiedBy>
  <cp:lastPrinted>2022-08-25T11:23:43Z</cp:lastPrinted>
  <dcterms:modified xsi:type="dcterms:W3CDTF">2022-08-25T16:49:00Z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